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2C3C" w14:textId="77777777" w:rsidR="007C4EBE" w:rsidRPr="00016F9D" w:rsidRDefault="007C4EBE" w:rsidP="007C4EBE">
      <w:pPr>
        <w:pStyle w:val="Heading2"/>
        <w:rPr>
          <w:color w:val="0060A9"/>
          <w:sz w:val="40"/>
          <w:szCs w:val="40"/>
        </w:rPr>
      </w:pPr>
      <w:bookmarkStart w:id="0" w:name="_Toc10461727"/>
      <w:r w:rsidRPr="00016F9D">
        <w:rPr>
          <w:color w:val="0060A9"/>
          <w:sz w:val="40"/>
          <w:szCs w:val="40"/>
        </w:rPr>
        <w:t>Policy 228: Conflict of Interest</w:t>
      </w:r>
      <w:bookmarkEnd w:id="0"/>
    </w:p>
    <w:p w14:paraId="68C2B3CA" w14:textId="77777777" w:rsidR="007C4EBE" w:rsidRPr="00E61B2B" w:rsidRDefault="007C4EBE" w:rsidP="007C4EBE">
      <w:pPr>
        <w:spacing w:before="47"/>
        <w:ind w:left="100"/>
        <w:rPr>
          <w:rFonts w:asciiTheme="minorHAnsi" w:hAnsiTheme="minorHAnsi" w:cstheme="minorHAnsi"/>
          <w:sz w:val="24"/>
          <w:szCs w:val="24"/>
        </w:rPr>
      </w:pPr>
      <w:r w:rsidRPr="00E61B2B">
        <w:rPr>
          <w:rFonts w:asciiTheme="minorHAnsi" w:hAnsiTheme="minorHAnsi" w:cstheme="minorHAnsi"/>
          <w:sz w:val="24"/>
          <w:szCs w:val="24"/>
        </w:rPr>
        <w:t>Category: Personnel</w:t>
      </w:r>
    </w:p>
    <w:p w14:paraId="10783CDA" w14:textId="77777777" w:rsidR="007C4EBE" w:rsidRPr="00E61B2B" w:rsidRDefault="007C4EBE" w:rsidP="007C4EBE">
      <w:pPr>
        <w:spacing w:before="47"/>
        <w:ind w:left="100"/>
        <w:rPr>
          <w:rFonts w:asciiTheme="minorHAnsi" w:hAnsiTheme="minorHAnsi" w:cstheme="minorHAnsi"/>
          <w:sz w:val="24"/>
          <w:szCs w:val="24"/>
        </w:rPr>
      </w:pPr>
      <w:r w:rsidRPr="00E61B2B">
        <w:rPr>
          <w:rFonts w:asciiTheme="minorHAnsi" w:hAnsiTheme="minorHAnsi" w:cstheme="minorHAnsi"/>
          <w:sz w:val="24"/>
          <w:szCs w:val="24"/>
        </w:rPr>
        <w:t>Covered Individuals: All CEI Employees</w:t>
      </w:r>
    </w:p>
    <w:p w14:paraId="6FC34352" w14:textId="0D81F985" w:rsidR="007C4EBE" w:rsidRPr="00E61B2B" w:rsidRDefault="007C4EBE" w:rsidP="007C4EBE">
      <w:pPr>
        <w:pStyle w:val="Heading5"/>
        <w:spacing w:before="47"/>
        <w:ind w:left="120"/>
        <w:rPr>
          <w:rFonts w:asciiTheme="minorHAnsi" w:hAnsiTheme="minorHAnsi" w:cstheme="minorHAnsi"/>
          <w:sz w:val="24"/>
          <w:szCs w:val="24"/>
        </w:rPr>
      </w:pPr>
      <w:r w:rsidRPr="00E61B2B">
        <w:rPr>
          <w:rFonts w:asciiTheme="minorHAnsi" w:hAnsiTheme="minorHAnsi" w:cstheme="minorHAnsi"/>
          <w:sz w:val="24"/>
          <w:szCs w:val="24"/>
        </w:rPr>
        <w:t xml:space="preserve">Approved: </w:t>
      </w:r>
      <w:r w:rsidR="000C4D7B">
        <w:rPr>
          <w:rFonts w:asciiTheme="minorHAnsi" w:hAnsiTheme="minorHAnsi" w:cstheme="minorHAnsi"/>
          <w:sz w:val="24"/>
          <w:szCs w:val="24"/>
        </w:rPr>
        <w:t>5/24/2022</w:t>
      </w:r>
      <w:bookmarkStart w:id="1" w:name="_GoBack"/>
      <w:bookmarkEnd w:id="1"/>
      <w:r w:rsidRPr="00E61B2B">
        <w:rPr>
          <w:rFonts w:asciiTheme="minorHAnsi" w:hAnsiTheme="minorHAnsi" w:cstheme="minorHAnsi"/>
          <w:sz w:val="24"/>
          <w:szCs w:val="24"/>
        </w:rPr>
        <w:t xml:space="preserve"> </w:t>
      </w:r>
      <w:r w:rsidR="000C4D7B">
        <w:rPr>
          <w:rFonts w:asciiTheme="minorHAnsi" w:hAnsiTheme="minorHAnsi" w:cstheme="minorHAnsi"/>
          <w:sz w:val="24"/>
          <w:szCs w:val="24"/>
        </w:rPr>
        <w:t xml:space="preserve">   Formerly Approved: 10/26/18</w:t>
      </w:r>
    </w:p>
    <w:p w14:paraId="47CBA6DD" w14:textId="5D20352E" w:rsidR="000C4D7B" w:rsidRPr="000C4D7B" w:rsidRDefault="000C4D7B" w:rsidP="000C4D7B">
      <w:pPr>
        <w:pStyle w:val="Heading5"/>
        <w:spacing w:before="47"/>
        <w:ind w:left="0"/>
      </w:pPr>
    </w:p>
    <w:p w14:paraId="17642007" w14:textId="77777777" w:rsidR="007C4EBE" w:rsidRPr="0005439F" w:rsidRDefault="007C4EBE" w:rsidP="007C4EBE">
      <w:pPr>
        <w:pStyle w:val="Heading5"/>
        <w:spacing w:before="47"/>
        <w:ind w:left="100"/>
        <w:rPr>
          <w:b/>
          <w:color w:val="0060A9"/>
        </w:rPr>
      </w:pPr>
      <w:r>
        <w:rPr>
          <w:b/>
          <w:color w:val="0060A9"/>
        </w:rPr>
        <w:t xml:space="preserve">228.1 </w:t>
      </w:r>
      <w:r w:rsidRPr="0005439F">
        <w:rPr>
          <w:b/>
          <w:color w:val="0060A9"/>
        </w:rPr>
        <w:t>POLICY</w:t>
      </w:r>
    </w:p>
    <w:p w14:paraId="772D638A" w14:textId="77777777" w:rsidR="007C4EBE" w:rsidRPr="004068F0" w:rsidRDefault="007C4EBE" w:rsidP="007C4EBE">
      <w:pPr>
        <w:pStyle w:val="BodyText"/>
        <w:spacing w:before="170" w:line="290" w:lineRule="auto"/>
        <w:ind w:right="193"/>
        <w:rPr>
          <w:rFonts w:asciiTheme="minorHAnsi" w:hAnsiTheme="minorHAnsi" w:cstheme="minorHAnsi"/>
        </w:rPr>
      </w:pPr>
      <w:r w:rsidRPr="004068F0">
        <w:rPr>
          <w:rFonts w:asciiTheme="minorHAnsi" w:hAnsiTheme="minorHAnsi" w:cstheme="minorHAnsi"/>
        </w:rPr>
        <w:t xml:space="preserve">Maintenance of the </w:t>
      </w:r>
      <w:r w:rsidRPr="004068F0">
        <w:rPr>
          <w:rFonts w:asciiTheme="minorHAnsi" w:hAnsiTheme="minorHAnsi" w:cstheme="minorHAnsi"/>
          <w:spacing w:val="-3"/>
        </w:rPr>
        <w:t xml:space="preserve">public’s </w:t>
      </w:r>
      <w:r w:rsidRPr="004068F0">
        <w:rPr>
          <w:rFonts w:asciiTheme="minorHAnsi" w:hAnsiTheme="minorHAnsi" w:cstheme="minorHAnsi"/>
        </w:rPr>
        <w:t>trust is critical to the mission and reputation of CEI. It is vital that employees and public servants of CEI demonstrate that they hold themselves to the highest ethical standards, including the disclosure of their participation in any activity that will result in their financial, professional, or personal benefit and may be construed as a conflict of interest. Conflicts of interest must be reported, evaluated and resolved to prevent improper</w:t>
      </w:r>
      <w:r w:rsidRPr="004068F0">
        <w:rPr>
          <w:rFonts w:asciiTheme="minorHAnsi" w:hAnsiTheme="minorHAnsi" w:cstheme="minorHAnsi"/>
          <w:spacing w:val="13"/>
        </w:rPr>
        <w:t xml:space="preserve"> </w:t>
      </w:r>
      <w:r w:rsidRPr="004068F0">
        <w:rPr>
          <w:rFonts w:asciiTheme="minorHAnsi" w:hAnsiTheme="minorHAnsi" w:cstheme="minorHAnsi"/>
        </w:rPr>
        <w:t>actions.</w:t>
      </w:r>
    </w:p>
    <w:p w14:paraId="23508B69" w14:textId="77777777" w:rsidR="007C4EBE" w:rsidRPr="004C77D1" w:rsidRDefault="007C4EBE" w:rsidP="007C4EBE">
      <w:pPr>
        <w:pStyle w:val="BodyText"/>
        <w:spacing w:before="5"/>
        <w:ind w:left="0"/>
        <w:rPr>
          <w:sz w:val="20"/>
        </w:rPr>
      </w:pPr>
    </w:p>
    <w:p w14:paraId="640112BC" w14:textId="77777777" w:rsidR="007C4EBE" w:rsidRPr="0005439F" w:rsidRDefault="007C4EBE" w:rsidP="007C4EBE">
      <w:pPr>
        <w:pStyle w:val="Heading4"/>
        <w:rPr>
          <w:color w:val="0060A9"/>
        </w:rPr>
      </w:pPr>
      <w:r>
        <w:rPr>
          <w:color w:val="0060A9"/>
        </w:rPr>
        <w:t xml:space="preserve">228.2 </w:t>
      </w:r>
      <w:r w:rsidRPr="0005439F">
        <w:rPr>
          <w:color w:val="0060A9"/>
        </w:rPr>
        <w:t>PROCEDURES</w:t>
      </w:r>
    </w:p>
    <w:p w14:paraId="18389D1A" w14:textId="77777777" w:rsidR="007C4EBE" w:rsidRPr="004068F0" w:rsidRDefault="007C4EBE" w:rsidP="007C4EBE">
      <w:pPr>
        <w:pStyle w:val="BodyText"/>
        <w:spacing w:before="170" w:line="290" w:lineRule="auto"/>
        <w:ind w:right="166"/>
        <w:rPr>
          <w:rFonts w:asciiTheme="minorHAnsi" w:hAnsiTheme="minorHAnsi" w:cstheme="minorHAnsi"/>
        </w:rPr>
      </w:pPr>
      <w:r w:rsidRPr="004068F0">
        <w:rPr>
          <w:rFonts w:asciiTheme="minorHAnsi" w:hAnsiTheme="minorHAnsi" w:cstheme="minorHAnsi"/>
        </w:rPr>
        <w:t xml:space="preserve">A conflict of interest arises when an employee, or public servant, may benefit personally from dealings with an entity or person conducting business with the College, including indirect benefits such as to family members or businesses with which the person is closely associated. A conflict of interest also arises when an </w:t>
      </w:r>
      <w:r w:rsidRPr="004068F0">
        <w:rPr>
          <w:rFonts w:asciiTheme="minorHAnsi" w:hAnsiTheme="minorHAnsi" w:cstheme="minorHAnsi"/>
          <w:spacing w:val="-3"/>
        </w:rPr>
        <w:t xml:space="preserve">employee’s </w:t>
      </w:r>
      <w:r w:rsidRPr="004068F0">
        <w:rPr>
          <w:rFonts w:asciiTheme="minorHAnsi" w:hAnsiTheme="minorHAnsi" w:cstheme="minorHAnsi"/>
        </w:rPr>
        <w:t>or public servant’s personal interests or relationships may compromise his/her professional judgment in the discharge of his/her duties and responsibilities. Examples include:</w:t>
      </w:r>
    </w:p>
    <w:p w14:paraId="4EEFAA03" w14:textId="77777777" w:rsidR="007C4EBE" w:rsidRPr="00C64005" w:rsidRDefault="007C4EBE" w:rsidP="007C4EBE">
      <w:pPr>
        <w:pStyle w:val="ListParagraph"/>
        <w:numPr>
          <w:ilvl w:val="0"/>
          <w:numId w:val="3"/>
        </w:numPr>
        <w:tabs>
          <w:tab w:val="left" w:pos="570"/>
        </w:tabs>
        <w:spacing w:before="61"/>
        <w:rPr>
          <w:rFonts w:asciiTheme="minorHAnsi" w:hAnsiTheme="minorHAnsi" w:cstheme="minorHAnsi"/>
        </w:rPr>
      </w:pPr>
      <w:r w:rsidRPr="00C64005">
        <w:rPr>
          <w:rFonts w:asciiTheme="minorHAnsi" w:hAnsiTheme="minorHAnsi" w:cstheme="minorHAnsi"/>
        </w:rPr>
        <w:t>Recommending or awarding a contract for services to a company in which the individual has a financial or personal</w:t>
      </w:r>
      <w:r w:rsidRPr="00C64005">
        <w:rPr>
          <w:rFonts w:asciiTheme="minorHAnsi" w:hAnsiTheme="minorHAnsi" w:cstheme="minorHAnsi"/>
          <w:spacing w:val="-24"/>
        </w:rPr>
        <w:t xml:space="preserve"> </w:t>
      </w:r>
      <w:r w:rsidRPr="00C64005">
        <w:rPr>
          <w:rFonts w:asciiTheme="minorHAnsi" w:hAnsiTheme="minorHAnsi" w:cstheme="minorHAnsi"/>
        </w:rPr>
        <w:t>interest.</w:t>
      </w:r>
    </w:p>
    <w:p w14:paraId="5B5A1E70" w14:textId="77777777" w:rsidR="007C4EBE" w:rsidRPr="00C64005" w:rsidRDefault="007C4EBE" w:rsidP="007C4EBE">
      <w:pPr>
        <w:pStyle w:val="ListParagraph"/>
        <w:numPr>
          <w:ilvl w:val="0"/>
          <w:numId w:val="3"/>
        </w:numPr>
        <w:tabs>
          <w:tab w:val="left" w:pos="570"/>
        </w:tabs>
        <w:rPr>
          <w:rFonts w:asciiTheme="minorHAnsi" w:hAnsiTheme="minorHAnsi" w:cstheme="minorHAnsi"/>
        </w:rPr>
      </w:pPr>
      <w:r w:rsidRPr="00C64005">
        <w:rPr>
          <w:rFonts w:asciiTheme="minorHAnsi" w:hAnsiTheme="minorHAnsi" w:cstheme="minorHAnsi"/>
        </w:rPr>
        <w:t>Providing impartial instruction to a relative or</w:t>
      </w:r>
      <w:r w:rsidRPr="00C64005">
        <w:rPr>
          <w:rFonts w:asciiTheme="minorHAnsi" w:hAnsiTheme="minorHAnsi" w:cstheme="minorHAnsi"/>
          <w:spacing w:val="-3"/>
        </w:rPr>
        <w:t xml:space="preserve"> </w:t>
      </w:r>
      <w:r w:rsidRPr="00C64005">
        <w:rPr>
          <w:rFonts w:asciiTheme="minorHAnsi" w:hAnsiTheme="minorHAnsi" w:cstheme="minorHAnsi"/>
        </w:rPr>
        <w:t>friend</w:t>
      </w:r>
    </w:p>
    <w:p w14:paraId="2B4E975D" w14:textId="77777777" w:rsidR="007C4EBE" w:rsidRPr="00C64005" w:rsidRDefault="007C4EBE" w:rsidP="007C4EBE">
      <w:pPr>
        <w:pStyle w:val="ListParagraph"/>
        <w:numPr>
          <w:ilvl w:val="0"/>
          <w:numId w:val="3"/>
        </w:numPr>
        <w:tabs>
          <w:tab w:val="left" w:pos="570"/>
        </w:tabs>
        <w:rPr>
          <w:rFonts w:asciiTheme="minorHAnsi" w:hAnsiTheme="minorHAnsi" w:cstheme="minorHAnsi"/>
        </w:rPr>
      </w:pPr>
      <w:r w:rsidRPr="00C64005">
        <w:rPr>
          <w:rFonts w:asciiTheme="minorHAnsi" w:hAnsiTheme="minorHAnsi" w:cstheme="minorHAnsi"/>
        </w:rPr>
        <w:t>Providing impartial evaluation of a relative or friend for hiring or</w:t>
      </w:r>
      <w:r w:rsidRPr="00C64005">
        <w:rPr>
          <w:rFonts w:asciiTheme="minorHAnsi" w:hAnsiTheme="minorHAnsi" w:cstheme="minorHAnsi"/>
          <w:spacing w:val="-34"/>
        </w:rPr>
        <w:t xml:space="preserve"> </w:t>
      </w:r>
      <w:r w:rsidRPr="00C64005">
        <w:rPr>
          <w:rFonts w:asciiTheme="minorHAnsi" w:hAnsiTheme="minorHAnsi" w:cstheme="minorHAnsi"/>
        </w:rPr>
        <w:t>promotion.</w:t>
      </w:r>
    </w:p>
    <w:p w14:paraId="01119B1D" w14:textId="77777777" w:rsidR="007C4EBE" w:rsidRPr="004068F0" w:rsidRDefault="007C4EBE" w:rsidP="007C4EBE">
      <w:pPr>
        <w:pStyle w:val="BodyText"/>
        <w:spacing w:before="2"/>
        <w:ind w:left="0"/>
        <w:rPr>
          <w:rFonts w:asciiTheme="minorHAnsi" w:hAnsiTheme="minorHAnsi" w:cstheme="minorHAnsi"/>
        </w:rPr>
      </w:pPr>
    </w:p>
    <w:p w14:paraId="1B785039" w14:textId="77777777" w:rsidR="007C4EBE" w:rsidRPr="004068F0" w:rsidRDefault="007C4EBE" w:rsidP="007C4EBE">
      <w:pPr>
        <w:pStyle w:val="BodyText"/>
        <w:spacing w:line="290" w:lineRule="auto"/>
        <w:ind w:right="150"/>
        <w:rPr>
          <w:rFonts w:asciiTheme="minorHAnsi" w:hAnsiTheme="minorHAnsi" w:cstheme="minorHAnsi"/>
        </w:rPr>
      </w:pPr>
      <w:r w:rsidRPr="004068F0">
        <w:rPr>
          <w:rFonts w:asciiTheme="minorHAnsi" w:hAnsiTheme="minorHAnsi" w:cstheme="minorHAnsi"/>
        </w:rPr>
        <w:t xml:space="preserve">Under this </w:t>
      </w:r>
      <w:r w:rsidRPr="004068F0">
        <w:rPr>
          <w:rFonts w:asciiTheme="minorHAnsi" w:hAnsiTheme="minorHAnsi" w:cstheme="minorHAnsi"/>
          <w:spacing w:val="-4"/>
        </w:rPr>
        <w:t xml:space="preserve">policy, </w:t>
      </w:r>
      <w:r w:rsidRPr="004068F0">
        <w:rPr>
          <w:rFonts w:asciiTheme="minorHAnsi" w:hAnsiTheme="minorHAnsi" w:cstheme="minorHAnsi"/>
        </w:rPr>
        <w:t>family member includes any person with whom an employee has a familial or guardianship relationship, including</w:t>
      </w:r>
      <w:r w:rsidRPr="004068F0">
        <w:rPr>
          <w:rFonts w:asciiTheme="minorHAnsi" w:hAnsiTheme="minorHAnsi" w:cstheme="minorHAnsi"/>
          <w:spacing w:val="-6"/>
        </w:rPr>
        <w:t xml:space="preserve"> </w:t>
      </w:r>
      <w:r w:rsidRPr="004068F0">
        <w:rPr>
          <w:rFonts w:asciiTheme="minorHAnsi" w:hAnsiTheme="minorHAnsi" w:cstheme="minorHAnsi"/>
        </w:rPr>
        <w:t>but</w:t>
      </w:r>
      <w:r w:rsidRPr="004068F0">
        <w:rPr>
          <w:rFonts w:asciiTheme="minorHAnsi" w:hAnsiTheme="minorHAnsi" w:cstheme="minorHAnsi"/>
          <w:spacing w:val="-6"/>
        </w:rPr>
        <w:t xml:space="preserve"> </w:t>
      </w:r>
      <w:r w:rsidRPr="004068F0">
        <w:rPr>
          <w:rFonts w:asciiTheme="minorHAnsi" w:hAnsiTheme="minorHAnsi" w:cstheme="minorHAnsi"/>
        </w:rPr>
        <w:t>not</w:t>
      </w:r>
      <w:r w:rsidRPr="004068F0">
        <w:rPr>
          <w:rFonts w:asciiTheme="minorHAnsi" w:hAnsiTheme="minorHAnsi" w:cstheme="minorHAnsi"/>
          <w:spacing w:val="-6"/>
        </w:rPr>
        <w:t xml:space="preserve"> </w:t>
      </w:r>
      <w:r w:rsidRPr="004068F0">
        <w:rPr>
          <w:rFonts w:asciiTheme="minorHAnsi" w:hAnsiTheme="minorHAnsi" w:cstheme="minorHAnsi"/>
        </w:rPr>
        <w:t>limited</w:t>
      </w:r>
      <w:r w:rsidRPr="004068F0">
        <w:rPr>
          <w:rFonts w:asciiTheme="minorHAnsi" w:hAnsiTheme="minorHAnsi" w:cstheme="minorHAnsi"/>
          <w:spacing w:val="-5"/>
        </w:rPr>
        <w:t xml:space="preserve"> </w:t>
      </w:r>
      <w:r w:rsidRPr="004068F0">
        <w:rPr>
          <w:rFonts w:asciiTheme="minorHAnsi" w:hAnsiTheme="minorHAnsi" w:cstheme="minorHAnsi"/>
        </w:rPr>
        <w:t>to</w:t>
      </w:r>
      <w:r w:rsidRPr="004068F0">
        <w:rPr>
          <w:rFonts w:asciiTheme="minorHAnsi" w:hAnsiTheme="minorHAnsi" w:cstheme="minorHAnsi"/>
          <w:spacing w:val="-6"/>
        </w:rPr>
        <w:t xml:space="preserve"> </w:t>
      </w:r>
      <w:r w:rsidRPr="004068F0">
        <w:rPr>
          <w:rFonts w:asciiTheme="minorHAnsi" w:hAnsiTheme="minorHAnsi" w:cstheme="minorHAnsi"/>
        </w:rPr>
        <w:t>a</w:t>
      </w:r>
      <w:r w:rsidRPr="004068F0">
        <w:rPr>
          <w:rFonts w:asciiTheme="minorHAnsi" w:hAnsiTheme="minorHAnsi" w:cstheme="minorHAnsi"/>
          <w:spacing w:val="-6"/>
        </w:rPr>
        <w:t xml:space="preserve"> </w:t>
      </w:r>
      <w:r w:rsidRPr="004068F0">
        <w:rPr>
          <w:rFonts w:asciiTheme="minorHAnsi" w:hAnsiTheme="minorHAnsi" w:cstheme="minorHAnsi"/>
        </w:rPr>
        <w:t>parent,</w:t>
      </w:r>
      <w:r w:rsidRPr="004068F0">
        <w:rPr>
          <w:rFonts w:asciiTheme="minorHAnsi" w:hAnsiTheme="minorHAnsi" w:cstheme="minorHAnsi"/>
          <w:spacing w:val="-5"/>
        </w:rPr>
        <w:t xml:space="preserve"> </w:t>
      </w:r>
      <w:r w:rsidRPr="004068F0">
        <w:rPr>
          <w:rFonts w:asciiTheme="minorHAnsi" w:hAnsiTheme="minorHAnsi" w:cstheme="minorHAnsi"/>
        </w:rPr>
        <w:t>guardian,</w:t>
      </w:r>
      <w:r w:rsidRPr="004068F0">
        <w:rPr>
          <w:rFonts w:asciiTheme="minorHAnsi" w:hAnsiTheme="minorHAnsi" w:cstheme="minorHAnsi"/>
          <w:spacing w:val="-6"/>
        </w:rPr>
        <w:t xml:space="preserve"> </w:t>
      </w:r>
      <w:r w:rsidRPr="004068F0">
        <w:rPr>
          <w:rFonts w:asciiTheme="minorHAnsi" w:hAnsiTheme="minorHAnsi" w:cstheme="minorHAnsi"/>
        </w:rPr>
        <w:t>step-parent,</w:t>
      </w:r>
      <w:r w:rsidRPr="004068F0">
        <w:rPr>
          <w:rFonts w:asciiTheme="minorHAnsi" w:hAnsiTheme="minorHAnsi" w:cstheme="minorHAnsi"/>
          <w:spacing w:val="-6"/>
        </w:rPr>
        <w:t xml:space="preserve"> </w:t>
      </w:r>
      <w:r w:rsidRPr="004068F0">
        <w:rPr>
          <w:rFonts w:asciiTheme="minorHAnsi" w:hAnsiTheme="minorHAnsi" w:cstheme="minorHAnsi"/>
        </w:rPr>
        <w:t>child,</w:t>
      </w:r>
      <w:r w:rsidRPr="004068F0">
        <w:rPr>
          <w:rFonts w:asciiTheme="minorHAnsi" w:hAnsiTheme="minorHAnsi" w:cstheme="minorHAnsi"/>
          <w:spacing w:val="-5"/>
        </w:rPr>
        <w:t xml:space="preserve"> </w:t>
      </w:r>
      <w:r w:rsidRPr="004068F0">
        <w:rPr>
          <w:rFonts w:asciiTheme="minorHAnsi" w:hAnsiTheme="minorHAnsi" w:cstheme="minorHAnsi"/>
        </w:rPr>
        <w:t>step-child,</w:t>
      </w:r>
      <w:r w:rsidRPr="004068F0">
        <w:rPr>
          <w:rFonts w:asciiTheme="minorHAnsi" w:hAnsiTheme="minorHAnsi" w:cstheme="minorHAnsi"/>
          <w:spacing w:val="-6"/>
        </w:rPr>
        <w:t xml:space="preserve"> </w:t>
      </w:r>
      <w:r w:rsidRPr="004068F0">
        <w:rPr>
          <w:rFonts w:asciiTheme="minorHAnsi" w:hAnsiTheme="minorHAnsi" w:cstheme="minorHAnsi"/>
        </w:rPr>
        <w:t>son-in-law</w:t>
      </w:r>
      <w:r w:rsidRPr="004068F0">
        <w:rPr>
          <w:rFonts w:asciiTheme="minorHAnsi" w:hAnsiTheme="minorHAnsi" w:cstheme="minorHAnsi"/>
          <w:spacing w:val="-6"/>
        </w:rPr>
        <w:t xml:space="preserve"> </w:t>
      </w:r>
      <w:r w:rsidRPr="004068F0">
        <w:rPr>
          <w:rFonts w:asciiTheme="minorHAnsi" w:hAnsiTheme="minorHAnsi" w:cstheme="minorHAnsi"/>
        </w:rPr>
        <w:t>or</w:t>
      </w:r>
      <w:r w:rsidRPr="004068F0">
        <w:rPr>
          <w:rFonts w:asciiTheme="minorHAnsi" w:hAnsiTheme="minorHAnsi" w:cstheme="minorHAnsi"/>
          <w:spacing w:val="-5"/>
        </w:rPr>
        <w:t xml:space="preserve"> </w:t>
      </w:r>
      <w:r w:rsidRPr="004068F0">
        <w:rPr>
          <w:rFonts w:asciiTheme="minorHAnsi" w:hAnsiTheme="minorHAnsi" w:cstheme="minorHAnsi"/>
        </w:rPr>
        <w:t>daughter-in-law,</w:t>
      </w:r>
      <w:r w:rsidRPr="004068F0">
        <w:rPr>
          <w:rFonts w:asciiTheme="minorHAnsi" w:hAnsiTheme="minorHAnsi" w:cstheme="minorHAnsi"/>
          <w:spacing w:val="-6"/>
        </w:rPr>
        <w:t xml:space="preserve"> </w:t>
      </w:r>
      <w:r w:rsidRPr="004068F0">
        <w:rPr>
          <w:rFonts w:asciiTheme="minorHAnsi" w:hAnsiTheme="minorHAnsi" w:cstheme="minorHAnsi"/>
        </w:rPr>
        <w:t>sibling,</w:t>
      </w:r>
      <w:r w:rsidRPr="004068F0">
        <w:rPr>
          <w:rFonts w:asciiTheme="minorHAnsi" w:hAnsiTheme="minorHAnsi" w:cstheme="minorHAnsi"/>
          <w:spacing w:val="-6"/>
        </w:rPr>
        <w:t xml:space="preserve"> </w:t>
      </w:r>
      <w:r w:rsidRPr="004068F0">
        <w:rPr>
          <w:rFonts w:asciiTheme="minorHAnsi" w:hAnsiTheme="minorHAnsi" w:cstheme="minorHAnsi"/>
        </w:rPr>
        <w:t xml:space="preserve">step-sibling, spouse, aunt, uncle, niece, </w:t>
      </w:r>
      <w:r w:rsidRPr="004068F0">
        <w:rPr>
          <w:rFonts w:asciiTheme="minorHAnsi" w:hAnsiTheme="minorHAnsi" w:cstheme="minorHAnsi"/>
          <w:spacing w:val="-4"/>
        </w:rPr>
        <w:t xml:space="preserve">nephew, </w:t>
      </w:r>
      <w:r w:rsidRPr="004068F0">
        <w:rPr>
          <w:rFonts w:asciiTheme="minorHAnsi" w:hAnsiTheme="minorHAnsi" w:cstheme="minorHAnsi"/>
        </w:rPr>
        <w:t xml:space="preserve">cousin, grandparent, grandchild, </w:t>
      </w:r>
      <w:r w:rsidRPr="004068F0">
        <w:rPr>
          <w:rFonts w:asciiTheme="minorHAnsi" w:hAnsiTheme="minorHAnsi" w:cstheme="minorHAnsi"/>
          <w:spacing w:val="-3"/>
        </w:rPr>
        <w:t xml:space="preserve">mother-in-law, father-in-law, brother-in-law, sister-in-law,  </w:t>
      </w:r>
      <w:r w:rsidRPr="004068F0">
        <w:rPr>
          <w:rFonts w:asciiTheme="minorHAnsi" w:hAnsiTheme="minorHAnsi" w:cstheme="minorHAnsi"/>
        </w:rPr>
        <w:t>or any persons living in the same</w:t>
      </w:r>
      <w:r w:rsidRPr="004068F0">
        <w:rPr>
          <w:rFonts w:asciiTheme="minorHAnsi" w:hAnsiTheme="minorHAnsi" w:cstheme="minorHAnsi"/>
          <w:spacing w:val="-5"/>
        </w:rPr>
        <w:t xml:space="preserve"> </w:t>
      </w:r>
      <w:r w:rsidRPr="004068F0">
        <w:rPr>
          <w:rFonts w:asciiTheme="minorHAnsi" w:hAnsiTheme="minorHAnsi" w:cstheme="minorHAnsi"/>
        </w:rPr>
        <w:t>household.</w:t>
      </w:r>
    </w:p>
    <w:p w14:paraId="71AA6662" w14:textId="77777777" w:rsidR="007C4EBE" w:rsidRPr="004068F0" w:rsidRDefault="007C4EBE" w:rsidP="007C4EBE">
      <w:pPr>
        <w:pStyle w:val="BodyText"/>
        <w:spacing w:before="103"/>
        <w:rPr>
          <w:rFonts w:asciiTheme="minorHAnsi" w:hAnsiTheme="minorHAnsi" w:cstheme="minorHAnsi"/>
        </w:rPr>
      </w:pPr>
      <w:r w:rsidRPr="004068F0">
        <w:rPr>
          <w:rFonts w:asciiTheme="minorHAnsi" w:hAnsiTheme="minorHAnsi" w:cstheme="minorHAnsi"/>
        </w:rPr>
        <w:t>A public servant includes any person participating as an advisor or consultant to the College, including volunteers.</w:t>
      </w:r>
    </w:p>
    <w:p w14:paraId="3126B47A" w14:textId="77777777" w:rsidR="007C4EBE" w:rsidRPr="004068F0" w:rsidRDefault="007C4EBE" w:rsidP="007C4EBE">
      <w:pPr>
        <w:pStyle w:val="BodyText"/>
        <w:spacing w:before="153" w:line="290" w:lineRule="auto"/>
        <w:ind w:right="112"/>
        <w:rPr>
          <w:rFonts w:asciiTheme="minorHAnsi" w:hAnsiTheme="minorHAnsi" w:cstheme="minorHAnsi"/>
        </w:rPr>
      </w:pPr>
      <w:r w:rsidRPr="004068F0">
        <w:rPr>
          <w:rFonts w:asciiTheme="minorHAnsi" w:hAnsiTheme="minorHAnsi" w:cstheme="minorHAnsi"/>
        </w:rPr>
        <w:t xml:space="preserve">Conflicts of interest are common, however, CEI employees have an obligation to conduct college-related business transactions and other duties assigned to them without actual or potential conflicts of interest. In accordance with this policy, all employees and public servants must disclose any actual or potential conflicts that may exist. Neither employees nor public servants may review, approve, or make any decision relating to a College transaction that may financially benefit themselves or their </w:t>
      </w:r>
      <w:r w:rsidRPr="004068F0">
        <w:rPr>
          <w:rFonts w:asciiTheme="minorHAnsi" w:hAnsiTheme="minorHAnsi" w:cstheme="minorHAnsi"/>
        </w:rPr>
        <w:lastRenderedPageBreak/>
        <w:t>family members.</w:t>
      </w:r>
    </w:p>
    <w:p w14:paraId="34E679B9" w14:textId="77777777" w:rsidR="007C4EBE" w:rsidRPr="004068F0" w:rsidRDefault="007C4EBE" w:rsidP="007C4EBE">
      <w:pPr>
        <w:pStyle w:val="BodyText"/>
        <w:spacing w:before="104" w:line="290" w:lineRule="auto"/>
        <w:ind w:right="112"/>
        <w:rPr>
          <w:rFonts w:asciiTheme="minorHAnsi" w:hAnsiTheme="minorHAnsi" w:cstheme="minorHAnsi"/>
        </w:rPr>
      </w:pPr>
      <w:r w:rsidRPr="004068F0">
        <w:rPr>
          <w:rFonts w:asciiTheme="minorHAnsi" w:hAnsiTheme="minorHAnsi" w:cstheme="minorHAnsi"/>
        </w:rPr>
        <w:t>An individual who recognizes a conflict of interest must report the situation to his or her immediate supervisor. This report does not need to be in writing. The existence of a conflict of interest generally does not result in any adverse action, but the failure to report a conflict of interest compromises the college’s integrity and could result in disciplinary action. The supervisor must evaluate the degree of risk associated with the conflict and take appropriate action. Possible resolutions might include:</w:t>
      </w:r>
    </w:p>
    <w:p w14:paraId="08D87A0A" w14:textId="77777777" w:rsidR="007C4EBE" w:rsidRPr="004068F0" w:rsidRDefault="007C4EBE" w:rsidP="007C4EBE">
      <w:pPr>
        <w:pStyle w:val="ListParagraph"/>
        <w:numPr>
          <w:ilvl w:val="0"/>
          <w:numId w:val="2"/>
        </w:numPr>
        <w:tabs>
          <w:tab w:val="left" w:pos="570"/>
        </w:tabs>
        <w:spacing w:before="60"/>
        <w:rPr>
          <w:rFonts w:asciiTheme="minorHAnsi" w:hAnsiTheme="minorHAnsi" w:cstheme="minorHAnsi"/>
        </w:rPr>
      </w:pPr>
      <w:r w:rsidRPr="004068F0">
        <w:rPr>
          <w:rFonts w:asciiTheme="minorHAnsi" w:hAnsiTheme="minorHAnsi" w:cstheme="minorHAnsi"/>
        </w:rPr>
        <w:t>Accepting the risk and counseling the individual to provide an extra degree of objectivity in the decision-making</w:t>
      </w:r>
      <w:r w:rsidRPr="004068F0">
        <w:rPr>
          <w:rFonts w:asciiTheme="minorHAnsi" w:hAnsiTheme="minorHAnsi" w:cstheme="minorHAnsi"/>
          <w:spacing w:val="2"/>
        </w:rPr>
        <w:t xml:space="preserve"> </w:t>
      </w:r>
      <w:r w:rsidRPr="004068F0">
        <w:rPr>
          <w:rFonts w:asciiTheme="minorHAnsi" w:hAnsiTheme="minorHAnsi" w:cstheme="minorHAnsi"/>
        </w:rPr>
        <w:t>process.</w:t>
      </w:r>
    </w:p>
    <w:p w14:paraId="73CE7E36" w14:textId="77777777" w:rsidR="007C4EBE" w:rsidRPr="004068F0" w:rsidRDefault="007C4EBE" w:rsidP="007C4EBE">
      <w:pPr>
        <w:pStyle w:val="ListParagraph"/>
        <w:numPr>
          <w:ilvl w:val="0"/>
          <w:numId w:val="2"/>
        </w:numPr>
        <w:tabs>
          <w:tab w:val="left" w:pos="570"/>
        </w:tabs>
        <w:rPr>
          <w:rFonts w:asciiTheme="minorHAnsi" w:hAnsiTheme="minorHAnsi" w:cstheme="minorHAnsi"/>
        </w:rPr>
      </w:pPr>
      <w:r w:rsidRPr="004068F0">
        <w:rPr>
          <w:rFonts w:asciiTheme="minorHAnsi" w:hAnsiTheme="minorHAnsi" w:cstheme="minorHAnsi"/>
        </w:rPr>
        <w:t>Requiring an extra degree of verification in the decision-making process to document the validity of the</w:t>
      </w:r>
      <w:r w:rsidRPr="004068F0">
        <w:rPr>
          <w:rFonts w:asciiTheme="minorHAnsi" w:hAnsiTheme="minorHAnsi" w:cstheme="minorHAnsi"/>
          <w:spacing w:val="37"/>
        </w:rPr>
        <w:t xml:space="preserve"> </w:t>
      </w:r>
      <w:r w:rsidRPr="004068F0">
        <w:rPr>
          <w:rFonts w:asciiTheme="minorHAnsi" w:hAnsiTheme="minorHAnsi" w:cstheme="minorHAnsi"/>
        </w:rPr>
        <w:t>decision.</w:t>
      </w:r>
    </w:p>
    <w:p w14:paraId="53CCE0BE" w14:textId="77777777" w:rsidR="007C4EBE" w:rsidRPr="004068F0" w:rsidRDefault="007C4EBE" w:rsidP="007C4EBE">
      <w:pPr>
        <w:pStyle w:val="ListParagraph"/>
        <w:numPr>
          <w:ilvl w:val="0"/>
          <w:numId w:val="2"/>
        </w:numPr>
        <w:tabs>
          <w:tab w:val="left" w:pos="570"/>
        </w:tabs>
        <w:rPr>
          <w:rFonts w:asciiTheme="minorHAnsi" w:hAnsiTheme="minorHAnsi" w:cstheme="minorHAnsi"/>
        </w:rPr>
      </w:pPr>
      <w:r w:rsidRPr="004068F0">
        <w:rPr>
          <w:rFonts w:asciiTheme="minorHAnsi" w:hAnsiTheme="minorHAnsi" w:cstheme="minorHAnsi"/>
        </w:rPr>
        <w:t>Establishing an independent review of the individual’s decisions on the matter in order to validate the</w:t>
      </w:r>
      <w:r w:rsidRPr="004068F0">
        <w:rPr>
          <w:rFonts w:asciiTheme="minorHAnsi" w:hAnsiTheme="minorHAnsi" w:cstheme="minorHAnsi"/>
          <w:spacing w:val="-3"/>
        </w:rPr>
        <w:t xml:space="preserve"> </w:t>
      </w:r>
      <w:r w:rsidRPr="004068F0">
        <w:rPr>
          <w:rFonts w:asciiTheme="minorHAnsi" w:hAnsiTheme="minorHAnsi" w:cstheme="minorHAnsi"/>
        </w:rPr>
        <w:t>results.</w:t>
      </w:r>
    </w:p>
    <w:p w14:paraId="75D6AE10" w14:textId="77777777" w:rsidR="007C4EBE" w:rsidRPr="004068F0" w:rsidRDefault="007C4EBE" w:rsidP="007C4EBE">
      <w:pPr>
        <w:pStyle w:val="ListParagraph"/>
        <w:numPr>
          <w:ilvl w:val="0"/>
          <w:numId w:val="2"/>
        </w:numPr>
        <w:tabs>
          <w:tab w:val="left" w:pos="570"/>
        </w:tabs>
        <w:spacing w:before="66"/>
        <w:rPr>
          <w:rFonts w:asciiTheme="minorHAnsi" w:hAnsiTheme="minorHAnsi" w:cstheme="minorHAnsi"/>
        </w:rPr>
      </w:pPr>
      <w:r w:rsidRPr="004068F0">
        <w:rPr>
          <w:rFonts w:asciiTheme="minorHAnsi" w:hAnsiTheme="minorHAnsi" w:cstheme="minorHAnsi"/>
        </w:rPr>
        <w:t>Replacing the individual with someone else without the conflict of</w:t>
      </w:r>
      <w:r w:rsidRPr="004068F0">
        <w:rPr>
          <w:rFonts w:asciiTheme="minorHAnsi" w:hAnsiTheme="minorHAnsi" w:cstheme="minorHAnsi"/>
          <w:spacing w:val="21"/>
        </w:rPr>
        <w:t xml:space="preserve"> </w:t>
      </w:r>
      <w:r w:rsidRPr="004068F0">
        <w:rPr>
          <w:rFonts w:asciiTheme="minorHAnsi" w:hAnsiTheme="minorHAnsi" w:cstheme="minorHAnsi"/>
        </w:rPr>
        <w:t>interest.</w:t>
      </w:r>
    </w:p>
    <w:p w14:paraId="47E0A23C" w14:textId="77777777" w:rsidR="007C4EBE" w:rsidRPr="004068F0" w:rsidRDefault="007C4EBE" w:rsidP="007C4EBE">
      <w:pPr>
        <w:pStyle w:val="BodyText"/>
        <w:spacing w:before="1"/>
        <w:ind w:left="0"/>
        <w:rPr>
          <w:rFonts w:asciiTheme="minorHAnsi" w:hAnsiTheme="minorHAnsi" w:cstheme="minorHAnsi"/>
        </w:rPr>
      </w:pPr>
    </w:p>
    <w:p w14:paraId="0FBCAC8B" w14:textId="77777777" w:rsidR="007C4EBE" w:rsidRPr="004068F0" w:rsidRDefault="007C4EBE" w:rsidP="007C4EBE">
      <w:pPr>
        <w:pStyle w:val="BodyText"/>
        <w:rPr>
          <w:rFonts w:asciiTheme="minorHAnsi" w:hAnsiTheme="minorHAnsi" w:cstheme="minorHAnsi"/>
        </w:rPr>
      </w:pPr>
      <w:r w:rsidRPr="004068F0">
        <w:rPr>
          <w:rFonts w:asciiTheme="minorHAnsi" w:hAnsiTheme="minorHAnsi" w:cstheme="minorHAnsi"/>
        </w:rPr>
        <w:t>Supervisors determine whether their evaluation of the conflict of interest, and actions taken, need to be documented. If documentation is considered appropriate, the supervisor prepares a memo documenting:</w:t>
      </w:r>
    </w:p>
    <w:p w14:paraId="543414AE" w14:textId="77777777" w:rsidR="007C4EBE" w:rsidRPr="004068F0" w:rsidRDefault="007C4EBE" w:rsidP="007C4EBE">
      <w:pPr>
        <w:pStyle w:val="ListParagraph"/>
        <w:numPr>
          <w:ilvl w:val="0"/>
          <w:numId w:val="1"/>
        </w:numPr>
        <w:tabs>
          <w:tab w:val="left" w:pos="570"/>
        </w:tabs>
        <w:spacing w:before="110"/>
        <w:rPr>
          <w:rFonts w:asciiTheme="minorHAnsi" w:hAnsiTheme="minorHAnsi" w:cstheme="minorHAnsi"/>
        </w:rPr>
      </w:pPr>
      <w:r w:rsidRPr="004068F0">
        <w:rPr>
          <w:rFonts w:asciiTheme="minorHAnsi" w:hAnsiTheme="minorHAnsi" w:cstheme="minorHAnsi"/>
        </w:rPr>
        <w:t>The reported conflict of</w:t>
      </w:r>
      <w:r w:rsidRPr="004068F0">
        <w:rPr>
          <w:rFonts w:asciiTheme="minorHAnsi" w:hAnsiTheme="minorHAnsi" w:cstheme="minorHAnsi"/>
          <w:spacing w:val="24"/>
        </w:rPr>
        <w:t xml:space="preserve"> </w:t>
      </w:r>
      <w:r w:rsidRPr="004068F0">
        <w:rPr>
          <w:rFonts w:asciiTheme="minorHAnsi" w:hAnsiTheme="minorHAnsi" w:cstheme="minorHAnsi"/>
        </w:rPr>
        <w:t>interest</w:t>
      </w:r>
    </w:p>
    <w:p w14:paraId="6D0A3C49" w14:textId="77777777" w:rsidR="007C4EBE" w:rsidRPr="004068F0" w:rsidRDefault="007C4EBE" w:rsidP="007C4EBE">
      <w:pPr>
        <w:pStyle w:val="ListParagraph"/>
        <w:numPr>
          <w:ilvl w:val="0"/>
          <w:numId w:val="1"/>
        </w:numPr>
        <w:tabs>
          <w:tab w:val="left" w:pos="570"/>
        </w:tabs>
        <w:spacing w:before="66"/>
        <w:rPr>
          <w:rFonts w:asciiTheme="minorHAnsi" w:hAnsiTheme="minorHAnsi" w:cstheme="minorHAnsi"/>
        </w:rPr>
      </w:pPr>
      <w:r w:rsidRPr="004068F0">
        <w:rPr>
          <w:rFonts w:asciiTheme="minorHAnsi" w:hAnsiTheme="minorHAnsi" w:cstheme="minorHAnsi"/>
        </w:rPr>
        <w:t>The individual</w:t>
      </w:r>
      <w:r w:rsidRPr="004068F0">
        <w:rPr>
          <w:rFonts w:asciiTheme="minorHAnsi" w:hAnsiTheme="minorHAnsi" w:cstheme="minorHAnsi"/>
          <w:spacing w:val="-2"/>
        </w:rPr>
        <w:t xml:space="preserve"> </w:t>
      </w:r>
      <w:r w:rsidRPr="004068F0">
        <w:rPr>
          <w:rFonts w:asciiTheme="minorHAnsi" w:hAnsiTheme="minorHAnsi" w:cstheme="minorHAnsi"/>
        </w:rPr>
        <w:t>affected</w:t>
      </w:r>
    </w:p>
    <w:p w14:paraId="3CB7BDFF" w14:textId="77777777" w:rsidR="007C4EBE" w:rsidRPr="004068F0" w:rsidRDefault="007C4EBE" w:rsidP="007C4EBE">
      <w:pPr>
        <w:pStyle w:val="ListParagraph"/>
        <w:numPr>
          <w:ilvl w:val="0"/>
          <w:numId w:val="1"/>
        </w:numPr>
        <w:tabs>
          <w:tab w:val="left" w:pos="570"/>
        </w:tabs>
        <w:rPr>
          <w:rFonts w:asciiTheme="minorHAnsi" w:hAnsiTheme="minorHAnsi" w:cstheme="minorHAnsi"/>
        </w:rPr>
      </w:pPr>
      <w:r w:rsidRPr="004068F0">
        <w:rPr>
          <w:rFonts w:asciiTheme="minorHAnsi" w:hAnsiTheme="minorHAnsi" w:cstheme="minorHAnsi"/>
        </w:rPr>
        <w:t>The potential consequences of the conflict of</w:t>
      </w:r>
      <w:r w:rsidRPr="004068F0">
        <w:rPr>
          <w:rFonts w:asciiTheme="minorHAnsi" w:hAnsiTheme="minorHAnsi" w:cstheme="minorHAnsi"/>
          <w:spacing w:val="-3"/>
        </w:rPr>
        <w:t xml:space="preserve"> </w:t>
      </w:r>
      <w:r w:rsidRPr="004068F0">
        <w:rPr>
          <w:rFonts w:asciiTheme="minorHAnsi" w:hAnsiTheme="minorHAnsi" w:cstheme="minorHAnsi"/>
        </w:rPr>
        <w:t>interest</w:t>
      </w:r>
    </w:p>
    <w:p w14:paraId="7000B4AD" w14:textId="77777777" w:rsidR="007C4EBE" w:rsidRPr="004068F0" w:rsidRDefault="007C4EBE" w:rsidP="007C4EBE">
      <w:pPr>
        <w:pStyle w:val="ListParagraph"/>
        <w:numPr>
          <w:ilvl w:val="0"/>
          <w:numId w:val="1"/>
        </w:numPr>
        <w:tabs>
          <w:tab w:val="left" w:pos="570"/>
        </w:tabs>
        <w:spacing w:before="66"/>
        <w:rPr>
          <w:rFonts w:asciiTheme="minorHAnsi" w:hAnsiTheme="minorHAnsi" w:cstheme="minorHAnsi"/>
        </w:rPr>
      </w:pPr>
      <w:r w:rsidRPr="004068F0">
        <w:rPr>
          <w:rFonts w:asciiTheme="minorHAnsi" w:hAnsiTheme="minorHAnsi" w:cstheme="minorHAnsi"/>
        </w:rPr>
        <w:t xml:space="preserve">Actions taken, if </w:t>
      </w:r>
      <w:r w:rsidRPr="004068F0">
        <w:rPr>
          <w:rFonts w:asciiTheme="minorHAnsi" w:hAnsiTheme="minorHAnsi" w:cstheme="minorHAnsi"/>
          <w:spacing w:val="-5"/>
        </w:rPr>
        <w:t xml:space="preserve">any, </w:t>
      </w:r>
      <w:r w:rsidRPr="004068F0">
        <w:rPr>
          <w:rFonts w:asciiTheme="minorHAnsi" w:hAnsiTheme="minorHAnsi" w:cstheme="minorHAnsi"/>
        </w:rPr>
        <w:t>to mitigate risks associated with the conflict of</w:t>
      </w:r>
      <w:r w:rsidRPr="004068F0">
        <w:rPr>
          <w:rFonts w:asciiTheme="minorHAnsi" w:hAnsiTheme="minorHAnsi" w:cstheme="minorHAnsi"/>
          <w:spacing w:val="-1"/>
        </w:rPr>
        <w:t xml:space="preserve"> </w:t>
      </w:r>
      <w:r w:rsidRPr="004068F0">
        <w:rPr>
          <w:rFonts w:asciiTheme="minorHAnsi" w:hAnsiTheme="minorHAnsi" w:cstheme="minorHAnsi"/>
        </w:rPr>
        <w:t>interest</w:t>
      </w:r>
    </w:p>
    <w:p w14:paraId="66205744" w14:textId="77777777" w:rsidR="007C4EBE" w:rsidRPr="004068F0" w:rsidRDefault="007C4EBE" w:rsidP="007C4EBE">
      <w:pPr>
        <w:pStyle w:val="BodyText"/>
        <w:spacing w:before="1"/>
        <w:ind w:left="0"/>
        <w:rPr>
          <w:rFonts w:asciiTheme="minorHAnsi" w:hAnsiTheme="minorHAnsi" w:cstheme="minorHAnsi"/>
        </w:rPr>
      </w:pPr>
    </w:p>
    <w:p w14:paraId="01C0C6D0" w14:textId="77777777" w:rsidR="007C4EBE" w:rsidRPr="004068F0" w:rsidRDefault="007C4EBE" w:rsidP="007C4EBE">
      <w:pPr>
        <w:pStyle w:val="BodyText"/>
        <w:spacing w:line="290" w:lineRule="auto"/>
        <w:rPr>
          <w:rFonts w:asciiTheme="minorHAnsi" w:hAnsiTheme="minorHAnsi" w:cstheme="minorHAnsi"/>
        </w:rPr>
      </w:pPr>
      <w:r w:rsidRPr="004068F0">
        <w:rPr>
          <w:rFonts w:asciiTheme="minorHAnsi" w:hAnsiTheme="minorHAnsi" w:cstheme="minorHAnsi"/>
        </w:rPr>
        <w:t>Both the supervisor and the interested individual must sign this memo, which is filed in the individual’s personnel file in the human resources office. The supervisor should retain a copy of the memo until the conflict is resolved.</w:t>
      </w:r>
    </w:p>
    <w:p w14:paraId="213CBBB7" w14:textId="77777777" w:rsidR="00CA0D5E" w:rsidRDefault="00CA0D5E"/>
    <w:sectPr w:rsidR="00CA0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360"/>
    <w:multiLevelType w:val="hybridMultilevel"/>
    <w:tmpl w:val="901621A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249B087C"/>
    <w:multiLevelType w:val="hybridMultilevel"/>
    <w:tmpl w:val="3B8E265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15:restartNumberingAfterBreak="0">
    <w:nsid w:val="6AFD3D4F"/>
    <w:multiLevelType w:val="hybridMultilevel"/>
    <w:tmpl w:val="9790F2D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BE"/>
    <w:rsid w:val="000C4D7B"/>
    <w:rsid w:val="00657737"/>
    <w:rsid w:val="007C4EBE"/>
    <w:rsid w:val="00CA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BAAA"/>
  <w15:chartTrackingRefBased/>
  <w15:docId w15:val="{D4E6AA15-A5C7-4297-9EF4-5CF6EBE1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4EBE"/>
    <w:pPr>
      <w:widowControl w:val="0"/>
      <w:autoSpaceDE w:val="0"/>
      <w:autoSpaceDN w:val="0"/>
      <w:spacing w:after="0" w:line="240" w:lineRule="auto"/>
    </w:pPr>
    <w:rPr>
      <w:rFonts w:ascii="Garamond" w:eastAsia="Garamond" w:hAnsi="Garamond" w:cs="Garamond"/>
      <w:lang w:bidi="en-US"/>
    </w:rPr>
  </w:style>
  <w:style w:type="paragraph" w:styleId="Heading2">
    <w:name w:val="heading 2"/>
    <w:basedOn w:val="Normal"/>
    <w:link w:val="Heading2Char"/>
    <w:uiPriority w:val="1"/>
    <w:qFormat/>
    <w:rsid w:val="007C4EBE"/>
    <w:pPr>
      <w:spacing w:before="75" w:line="786" w:lineRule="exact"/>
      <w:ind w:left="100"/>
      <w:outlineLvl w:val="1"/>
    </w:pPr>
    <w:rPr>
      <w:rFonts w:ascii="Segoe UI" w:eastAsia="Segoe UI" w:hAnsi="Segoe UI" w:cs="Segoe UI"/>
      <w:b/>
      <w:bCs/>
      <w:sz w:val="64"/>
      <w:szCs w:val="64"/>
    </w:rPr>
  </w:style>
  <w:style w:type="paragraph" w:styleId="Heading4">
    <w:name w:val="heading 4"/>
    <w:basedOn w:val="Normal"/>
    <w:link w:val="Heading4Char"/>
    <w:uiPriority w:val="1"/>
    <w:qFormat/>
    <w:rsid w:val="007C4EBE"/>
    <w:pPr>
      <w:ind w:left="124"/>
      <w:outlineLvl w:val="3"/>
    </w:pPr>
    <w:rPr>
      <w:rFonts w:ascii="Segoe UI" w:eastAsia="Segoe UI" w:hAnsi="Segoe UI" w:cs="Segoe UI"/>
      <w:b/>
      <w:bCs/>
      <w:sz w:val="28"/>
      <w:szCs w:val="28"/>
    </w:rPr>
  </w:style>
  <w:style w:type="paragraph" w:styleId="Heading5">
    <w:name w:val="heading 5"/>
    <w:basedOn w:val="Normal"/>
    <w:link w:val="Heading5Char"/>
    <w:uiPriority w:val="1"/>
    <w:qFormat/>
    <w:rsid w:val="007C4EBE"/>
    <w:pPr>
      <w:spacing w:before="20"/>
      <w:ind w:left="20"/>
      <w:outlineLvl w:val="4"/>
    </w:pPr>
    <w:rPr>
      <w:rFonts w:ascii="Segoe UI Semibold" w:eastAsia="Segoe UI Semibold"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C4EBE"/>
    <w:rPr>
      <w:rFonts w:ascii="Segoe UI" w:eastAsia="Segoe UI" w:hAnsi="Segoe UI" w:cs="Segoe UI"/>
      <w:b/>
      <w:bCs/>
      <w:sz w:val="64"/>
      <w:szCs w:val="64"/>
      <w:lang w:bidi="en-US"/>
    </w:rPr>
  </w:style>
  <w:style w:type="character" w:customStyle="1" w:styleId="Heading4Char">
    <w:name w:val="Heading 4 Char"/>
    <w:basedOn w:val="DefaultParagraphFont"/>
    <w:link w:val="Heading4"/>
    <w:uiPriority w:val="1"/>
    <w:rsid w:val="007C4EBE"/>
    <w:rPr>
      <w:rFonts w:ascii="Segoe UI" w:eastAsia="Segoe UI" w:hAnsi="Segoe UI" w:cs="Segoe UI"/>
      <w:b/>
      <w:bCs/>
      <w:sz w:val="28"/>
      <w:szCs w:val="28"/>
      <w:lang w:bidi="en-US"/>
    </w:rPr>
  </w:style>
  <w:style w:type="character" w:customStyle="1" w:styleId="Heading5Char">
    <w:name w:val="Heading 5 Char"/>
    <w:basedOn w:val="DefaultParagraphFont"/>
    <w:link w:val="Heading5"/>
    <w:uiPriority w:val="1"/>
    <w:rsid w:val="007C4EBE"/>
    <w:rPr>
      <w:rFonts w:ascii="Segoe UI Semibold" w:eastAsia="Segoe UI Semibold" w:hAnsi="Segoe UI Semibold" w:cs="Segoe UI Semibold"/>
      <w:sz w:val="28"/>
      <w:szCs w:val="28"/>
      <w:lang w:bidi="en-US"/>
    </w:rPr>
  </w:style>
  <w:style w:type="paragraph" w:styleId="BodyText">
    <w:name w:val="Body Text"/>
    <w:basedOn w:val="Normal"/>
    <w:link w:val="BodyTextChar"/>
    <w:uiPriority w:val="1"/>
    <w:qFormat/>
    <w:rsid w:val="007C4EBE"/>
    <w:pPr>
      <w:ind w:left="120"/>
    </w:pPr>
  </w:style>
  <w:style w:type="character" w:customStyle="1" w:styleId="BodyTextChar">
    <w:name w:val="Body Text Char"/>
    <w:basedOn w:val="DefaultParagraphFont"/>
    <w:link w:val="BodyText"/>
    <w:uiPriority w:val="1"/>
    <w:rsid w:val="007C4EBE"/>
    <w:rPr>
      <w:rFonts w:ascii="Garamond" w:eastAsia="Garamond" w:hAnsi="Garamond" w:cs="Garamond"/>
      <w:lang w:bidi="en-US"/>
    </w:rPr>
  </w:style>
  <w:style w:type="paragraph" w:styleId="ListParagraph">
    <w:name w:val="List Paragraph"/>
    <w:basedOn w:val="Normal"/>
    <w:uiPriority w:val="34"/>
    <w:qFormat/>
    <w:rsid w:val="007C4EBE"/>
    <w:pPr>
      <w:spacing w:before="65"/>
      <w:ind w:left="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Sievers</dc:creator>
  <cp:keywords/>
  <dc:description/>
  <cp:lastModifiedBy>Mary A Taylor</cp:lastModifiedBy>
  <cp:revision>4</cp:revision>
  <cp:lastPrinted>2022-05-11T23:02:00Z</cp:lastPrinted>
  <dcterms:created xsi:type="dcterms:W3CDTF">2022-05-11T23:02:00Z</dcterms:created>
  <dcterms:modified xsi:type="dcterms:W3CDTF">2022-05-25T16:07:00Z</dcterms:modified>
</cp:coreProperties>
</file>