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1AA6F" w14:textId="1B068AAE" w:rsidR="0000547C" w:rsidRDefault="00A554A9" w:rsidP="00A17CD5">
      <w:pPr>
        <w:pStyle w:val="Heading3"/>
        <w:spacing w:before="0"/>
        <w:ind w:left="0"/>
        <w:contextualSpacing/>
        <w:rPr>
          <w:color w:val="0060A9"/>
          <w:sz w:val="40"/>
          <w:szCs w:val="40"/>
        </w:rPr>
      </w:pPr>
      <w:r>
        <w:rPr>
          <w:color w:val="0060A9"/>
          <w:sz w:val="40"/>
          <w:szCs w:val="40"/>
        </w:rPr>
        <w:t>Procedure 910</w:t>
      </w:r>
      <w:r w:rsidR="00130D64">
        <w:rPr>
          <w:color w:val="0060A9"/>
          <w:sz w:val="40"/>
          <w:szCs w:val="40"/>
        </w:rPr>
        <w:t xml:space="preserve">: </w:t>
      </w:r>
      <w:r w:rsidR="00B76E9E" w:rsidRPr="00B76E9E">
        <w:rPr>
          <w:color w:val="0060A9"/>
          <w:sz w:val="40"/>
          <w:szCs w:val="40"/>
        </w:rPr>
        <w:t>Employee Referral</w:t>
      </w:r>
      <w:r w:rsidR="002342A9">
        <w:rPr>
          <w:color w:val="0060A9"/>
          <w:sz w:val="40"/>
          <w:szCs w:val="40"/>
        </w:rPr>
        <w:t xml:space="preserve"> </w:t>
      </w:r>
      <w:r w:rsidR="00B76E9E" w:rsidRPr="00B76E9E">
        <w:rPr>
          <w:color w:val="0060A9"/>
          <w:sz w:val="40"/>
          <w:szCs w:val="40"/>
        </w:rPr>
        <w:t>Program</w:t>
      </w:r>
      <w:bookmarkStart w:id="0" w:name="_Toc10461716"/>
      <w:r w:rsidR="00B76E9E" w:rsidRPr="00B76E9E">
        <w:rPr>
          <w:color w:val="0060A9"/>
          <w:sz w:val="40"/>
          <w:szCs w:val="40"/>
        </w:rPr>
        <w:t xml:space="preserve"> </w:t>
      </w:r>
      <w:bookmarkEnd w:id="0"/>
    </w:p>
    <w:p w14:paraId="70ECF0D0" w14:textId="77777777" w:rsidR="00237D36" w:rsidRDefault="00237D36" w:rsidP="00A17CD5">
      <w:pPr>
        <w:tabs>
          <w:tab w:val="left" w:pos="2340"/>
        </w:tabs>
        <w:spacing w:after="0" w:line="240" w:lineRule="auto"/>
        <w:contextualSpacing/>
        <w:rPr>
          <w:rFonts w:ascii="Segoe UI" w:eastAsia="Segoe UI" w:hAnsi="Segoe UI" w:cs="Segoe UI"/>
          <w:b/>
          <w:bCs/>
          <w:color w:val="0060A9"/>
          <w:sz w:val="28"/>
          <w:szCs w:val="28"/>
          <w:lang w:bidi="en-US"/>
        </w:rPr>
      </w:pPr>
    </w:p>
    <w:p w14:paraId="1845BFE2" w14:textId="1275C347" w:rsidR="00A17CD5" w:rsidRDefault="0000547C" w:rsidP="00A17CD5">
      <w:pPr>
        <w:tabs>
          <w:tab w:val="left" w:pos="2340"/>
        </w:tabs>
        <w:spacing w:after="0" w:line="240" w:lineRule="auto"/>
        <w:contextualSpacing/>
        <w:rPr>
          <w:rFonts w:ascii="Segoe UI" w:eastAsia="Segoe UI" w:hAnsi="Segoe UI" w:cs="Segoe UI"/>
          <w:b/>
          <w:bCs/>
          <w:color w:val="0060A9"/>
          <w:sz w:val="28"/>
          <w:szCs w:val="28"/>
          <w:lang w:bidi="en-US"/>
        </w:rPr>
      </w:pPr>
      <w:r w:rsidRPr="00B76E9E">
        <w:rPr>
          <w:rFonts w:ascii="Segoe UI" w:eastAsia="Segoe UI" w:hAnsi="Segoe UI" w:cs="Segoe UI"/>
          <w:b/>
          <w:bCs/>
          <w:color w:val="0060A9"/>
          <w:sz w:val="28"/>
          <w:szCs w:val="28"/>
          <w:lang w:bidi="en-US"/>
        </w:rPr>
        <w:t>P</w:t>
      </w:r>
      <w:r w:rsidR="0032019C">
        <w:rPr>
          <w:rFonts w:ascii="Segoe UI" w:eastAsia="Segoe UI" w:hAnsi="Segoe UI" w:cs="Segoe UI"/>
          <w:b/>
          <w:bCs/>
          <w:color w:val="0060A9"/>
          <w:sz w:val="28"/>
          <w:szCs w:val="28"/>
          <w:lang w:bidi="en-US"/>
        </w:rPr>
        <w:t>urpose</w:t>
      </w:r>
    </w:p>
    <w:p w14:paraId="1D383A8D" w14:textId="77777777" w:rsidR="00A17CD5" w:rsidRDefault="00A17CD5" w:rsidP="00A17CD5">
      <w:pPr>
        <w:tabs>
          <w:tab w:val="left" w:pos="2340"/>
        </w:tabs>
        <w:spacing w:after="0" w:line="240" w:lineRule="auto"/>
        <w:contextualSpacing/>
        <w:rPr>
          <w:rFonts w:ascii="Segoe UI" w:eastAsia="Segoe UI" w:hAnsi="Segoe UI" w:cs="Segoe UI"/>
          <w:b/>
          <w:bCs/>
          <w:color w:val="0060A9"/>
          <w:sz w:val="28"/>
          <w:szCs w:val="28"/>
          <w:lang w:bidi="en-US"/>
        </w:rPr>
      </w:pPr>
    </w:p>
    <w:p w14:paraId="5B0C9001" w14:textId="22CE3CA8" w:rsidR="0000547C" w:rsidRPr="00EF3D9C" w:rsidRDefault="0000547C" w:rsidP="00A17CD5">
      <w:pPr>
        <w:spacing w:after="0" w:line="240" w:lineRule="auto"/>
        <w:contextualSpacing/>
        <w:rPr>
          <w:rFonts w:cstheme="minorHAnsi"/>
        </w:rPr>
      </w:pPr>
      <w:r w:rsidRPr="00EF3D9C">
        <w:rPr>
          <w:rFonts w:cstheme="minorHAnsi"/>
        </w:rPr>
        <w:t>The College of Eastern Idaho</w:t>
      </w:r>
      <w:r w:rsidR="002342A9" w:rsidRPr="00EF3D9C">
        <w:rPr>
          <w:rFonts w:cstheme="minorHAnsi"/>
        </w:rPr>
        <w:t xml:space="preserve"> </w:t>
      </w:r>
      <w:r w:rsidRPr="00EF3D9C">
        <w:rPr>
          <w:rFonts w:cstheme="minorHAnsi"/>
        </w:rPr>
        <w:t xml:space="preserve">is always looking for employees of high integrity and value to join our team. As an employee, you can help! Research has shown, and our own experience supports, that new hires who come into an organization through employee referrals are excellent contributors and stay with the college longer. Eligible employees may be rewarded for referring a </w:t>
      </w:r>
      <w:r w:rsidR="00525640" w:rsidRPr="00EF3D9C">
        <w:rPr>
          <w:rFonts w:cstheme="minorHAnsi"/>
        </w:rPr>
        <w:t xml:space="preserve">newly </w:t>
      </w:r>
      <w:r w:rsidRPr="00EF3D9C">
        <w:rPr>
          <w:rFonts w:cstheme="minorHAnsi"/>
        </w:rPr>
        <w:t xml:space="preserve">hired </w:t>
      </w:r>
      <w:r w:rsidR="00525640" w:rsidRPr="00EF3D9C">
        <w:rPr>
          <w:rFonts w:cstheme="minorHAnsi"/>
        </w:rPr>
        <w:t>employee</w:t>
      </w:r>
      <w:r w:rsidRPr="00EF3D9C">
        <w:rPr>
          <w:rFonts w:cstheme="minorHAnsi"/>
        </w:rPr>
        <w:t>.</w:t>
      </w:r>
    </w:p>
    <w:p w14:paraId="2C3346D3" w14:textId="77777777" w:rsidR="00A17CD5" w:rsidRDefault="00A17CD5" w:rsidP="00A17CD5">
      <w:pPr>
        <w:spacing w:after="0" w:line="240" w:lineRule="auto"/>
        <w:contextualSpacing/>
        <w:rPr>
          <w:rFonts w:ascii="Segoe UI" w:eastAsia="Segoe UI" w:hAnsi="Segoe UI" w:cs="Segoe UI"/>
          <w:b/>
          <w:bCs/>
          <w:color w:val="0060A9"/>
          <w:sz w:val="28"/>
          <w:szCs w:val="28"/>
          <w:lang w:bidi="en-US"/>
        </w:rPr>
      </w:pPr>
    </w:p>
    <w:p w14:paraId="58AAE648" w14:textId="301C7716" w:rsidR="00697264" w:rsidRDefault="00B76E9E" w:rsidP="00A17CD5">
      <w:pPr>
        <w:spacing w:after="0" w:line="240" w:lineRule="auto"/>
        <w:contextualSpacing/>
        <w:rPr>
          <w:rFonts w:ascii="Segoe UI" w:eastAsia="Segoe UI" w:hAnsi="Segoe UI" w:cs="Segoe UI"/>
          <w:b/>
          <w:bCs/>
          <w:color w:val="0060A9"/>
          <w:sz w:val="28"/>
          <w:szCs w:val="28"/>
          <w:lang w:bidi="en-US"/>
        </w:rPr>
      </w:pPr>
      <w:r w:rsidRPr="00B76E9E">
        <w:rPr>
          <w:rFonts w:ascii="Segoe UI" w:eastAsia="Segoe UI" w:hAnsi="Segoe UI" w:cs="Segoe UI"/>
          <w:b/>
          <w:bCs/>
          <w:color w:val="0060A9"/>
          <w:sz w:val="28"/>
          <w:szCs w:val="28"/>
          <w:lang w:bidi="en-US"/>
        </w:rPr>
        <w:t>P</w:t>
      </w:r>
      <w:r w:rsidR="0032019C">
        <w:rPr>
          <w:rFonts w:ascii="Segoe UI" w:eastAsia="Segoe UI" w:hAnsi="Segoe UI" w:cs="Segoe UI"/>
          <w:b/>
          <w:bCs/>
          <w:color w:val="0060A9"/>
          <w:sz w:val="28"/>
          <w:szCs w:val="28"/>
          <w:lang w:bidi="en-US"/>
        </w:rPr>
        <w:t>rocedures</w:t>
      </w:r>
    </w:p>
    <w:p w14:paraId="5883B56F" w14:textId="77777777" w:rsidR="00A17CD5" w:rsidRDefault="00A17CD5" w:rsidP="00A17CD5">
      <w:pPr>
        <w:spacing w:after="0" w:line="240" w:lineRule="auto"/>
        <w:contextualSpacing/>
        <w:rPr>
          <w:rFonts w:ascii="Segoe UI" w:eastAsia="Segoe UI" w:hAnsi="Segoe UI" w:cs="Segoe UI"/>
          <w:b/>
          <w:bCs/>
          <w:color w:val="0060A9"/>
          <w:sz w:val="28"/>
          <w:szCs w:val="28"/>
          <w:lang w:bidi="en-US"/>
        </w:rPr>
      </w:pPr>
    </w:p>
    <w:p w14:paraId="2437251C" w14:textId="112AFB3B" w:rsidR="00AC72E6" w:rsidRDefault="00611653" w:rsidP="00A17CD5">
      <w:pPr>
        <w:tabs>
          <w:tab w:val="left" w:pos="2340"/>
        </w:tabs>
        <w:spacing w:after="0" w:line="240" w:lineRule="auto"/>
        <w:contextualSpacing/>
        <w:rPr>
          <w:rFonts w:cstheme="minorHAnsi"/>
        </w:rPr>
      </w:pPr>
      <w:r w:rsidRPr="00EF3D9C">
        <w:rPr>
          <w:rFonts w:cstheme="minorHAnsi"/>
        </w:rPr>
        <w:t xml:space="preserve">All eligible current employees who refer job applicants can receive up to $1000.00 (less taxes) as a referral bonus. </w:t>
      </w:r>
      <w:r w:rsidR="00AC72E6" w:rsidRPr="00611653">
        <w:rPr>
          <w:rFonts w:cstheme="minorHAnsi"/>
        </w:rPr>
        <w:t>Human Resources will conduct ongoing analyses of the workforce and the applicant pool to ensure that the employee referral program is effective and is yielding the intended results. If the program is not meeting its intended goals and is negatively affecting the workforce, we will reevaluate the program.</w:t>
      </w:r>
    </w:p>
    <w:p w14:paraId="38F4CF44" w14:textId="77777777" w:rsidR="00A17CD5" w:rsidRPr="00611653" w:rsidRDefault="00A17CD5" w:rsidP="00A17CD5">
      <w:pPr>
        <w:tabs>
          <w:tab w:val="left" w:pos="2340"/>
        </w:tabs>
        <w:spacing w:after="0" w:line="240" w:lineRule="auto"/>
        <w:contextualSpacing/>
        <w:rPr>
          <w:rFonts w:cstheme="minorHAnsi"/>
        </w:rPr>
      </w:pPr>
    </w:p>
    <w:p w14:paraId="1A79474D" w14:textId="4590EF9A" w:rsidR="00611653" w:rsidRPr="00C269D7" w:rsidRDefault="00611653" w:rsidP="00A17CD5">
      <w:pPr>
        <w:pStyle w:val="ListParagraph"/>
        <w:numPr>
          <w:ilvl w:val="0"/>
          <w:numId w:val="16"/>
        </w:numPr>
        <w:spacing w:after="0" w:line="240" w:lineRule="auto"/>
        <w:rPr>
          <w:rFonts w:cstheme="minorHAnsi"/>
        </w:rPr>
      </w:pPr>
      <w:r w:rsidRPr="00C269D7">
        <w:rPr>
          <w:rFonts w:cstheme="minorHAnsi"/>
        </w:rPr>
        <w:t>The following individuals are not eligible for the employee referral program:</w:t>
      </w:r>
    </w:p>
    <w:p w14:paraId="39B1266C" w14:textId="25EC7C61" w:rsidR="00611653" w:rsidRPr="00EF3D9C" w:rsidRDefault="00611653" w:rsidP="00A17CD5">
      <w:pPr>
        <w:pStyle w:val="ListParagraph"/>
        <w:numPr>
          <w:ilvl w:val="1"/>
          <w:numId w:val="15"/>
        </w:numPr>
        <w:spacing w:after="0" w:line="240" w:lineRule="auto"/>
        <w:rPr>
          <w:rFonts w:cstheme="minorHAnsi"/>
        </w:rPr>
      </w:pPr>
      <w:r w:rsidRPr="00EF3D9C">
        <w:rPr>
          <w:rFonts w:cstheme="minorHAnsi"/>
        </w:rPr>
        <w:t>Vice president level and above</w:t>
      </w:r>
    </w:p>
    <w:p w14:paraId="5C1BC1B8" w14:textId="503A6576" w:rsidR="00611653" w:rsidRPr="00EF3D9C" w:rsidRDefault="00611653" w:rsidP="00A17CD5">
      <w:pPr>
        <w:pStyle w:val="ListParagraph"/>
        <w:numPr>
          <w:ilvl w:val="1"/>
          <w:numId w:val="15"/>
        </w:numPr>
        <w:spacing w:after="0" w:line="240" w:lineRule="auto"/>
        <w:rPr>
          <w:rFonts w:cstheme="minorHAnsi"/>
        </w:rPr>
      </w:pPr>
      <w:r w:rsidRPr="00EF3D9C">
        <w:rPr>
          <w:rFonts w:cstheme="minorHAnsi"/>
        </w:rPr>
        <w:t>Human Resources personnel</w:t>
      </w:r>
      <w:r w:rsidR="00A554A9">
        <w:rPr>
          <w:rFonts w:cstheme="minorHAnsi"/>
        </w:rPr>
        <w:t xml:space="preserve"> excluding the payroll coordinator</w:t>
      </w:r>
    </w:p>
    <w:p w14:paraId="2FE38A6F" w14:textId="64E01B9A" w:rsidR="00611653" w:rsidRPr="00EF3D9C" w:rsidRDefault="00611653" w:rsidP="00A17CD5">
      <w:pPr>
        <w:pStyle w:val="ListParagraph"/>
        <w:numPr>
          <w:ilvl w:val="1"/>
          <w:numId w:val="15"/>
        </w:numPr>
        <w:spacing w:after="0" w:line="240" w:lineRule="auto"/>
        <w:rPr>
          <w:rFonts w:cstheme="minorHAnsi"/>
        </w:rPr>
      </w:pPr>
      <w:r w:rsidRPr="00EF3D9C">
        <w:rPr>
          <w:rFonts w:cstheme="minorHAnsi"/>
        </w:rPr>
        <w:t>Managers with hiring authority over the referred candidates</w:t>
      </w:r>
    </w:p>
    <w:p w14:paraId="47428EF4" w14:textId="048FD5AA" w:rsidR="00611653" w:rsidRPr="00EF3D9C" w:rsidRDefault="00611653" w:rsidP="00A17CD5">
      <w:pPr>
        <w:pStyle w:val="ListParagraph"/>
        <w:numPr>
          <w:ilvl w:val="1"/>
          <w:numId w:val="15"/>
        </w:numPr>
        <w:tabs>
          <w:tab w:val="left" w:pos="2340"/>
        </w:tabs>
        <w:spacing w:after="0" w:line="240" w:lineRule="auto"/>
        <w:rPr>
          <w:rFonts w:cstheme="minorHAnsi"/>
        </w:rPr>
      </w:pPr>
      <w:r w:rsidRPr="00EF3D9C">
        <w:rPr>
          <w:rFonts w:cstheme="minorHAnsi"/>
        </w:rPr>
        <w:t>Hiring committee members, if applicable, and any other employee involved in influencing the hiring decision</w:t>
      </w:r>
    </w:p>
    <w:p w14:paraId="5B7ACB2D" w14:textId="1D0491C2" w:rsidR="00B24737" w:rsidRPr="00B36E94" w:rsidRDefault="00611653" w:rsidP="00A17CD5">
      <w:pPr>
        <w:pStyle w:val="ListParagraph"/>
        <w:numPr>
          <w:ilvl w:val="1"/>
          <w:numId w:val="15"/>
        </w:numPr>
        <w:tabs>
          <w:tab w:val="left" w:pos="2340"/>
        </w:tabs>
        <w:spacing w:after="0" w:line="240" w:lineRule="auto"/>
        <w:rPr>
          <w:rFonts w:cstheme="minorHAnsi"/>
        </w:rPr>
      </w:pPr>
      <w:r w:rsidRPr="00611653">
        <w:rPr>
          <w:rFonts w:cstheme="minorHAnsi"/>
        </w:rPr>
        <w:t>Immediate family members of the new employees, regardless of their role at CEI</w:t>
      </w:r>
    </w:p>
    <w:p w14:paraId="2EBA5794" w14:textId="3E1932FA" w:rsidR="00A86175" w:rsidRPr="00A86175" w:rsidRDefault="00A86175" w:rsidP="00A17CD5">
      <w:pPr>
        <w:pStyle w:val="ListParagraph"/>
        <w:numPr>
          <w:ilvl w:val="0"/>
          <w:numId w:val="11"/>
        </w:numPr>
        <w:spacing w:after="0" w:line="240" w:lineRule="auto"/>
        <w:rPr>
          <w:rFonts w:cstheme="minorHAnsi"/>
        </w:rPr>
      </w:pPr>
      <w:r>
        <w:rPr>
          <w:rFonts w:cstheme="minorHAnsi"/>
        </w:rPr>
        <w:t>T</w:t>
      </w:r>
      <w:r w:rsidRPr="00A86175">
        <w:rPr>
          <w:rFonts w:cstheme="minorHAnsi"/>
        </w:rPr>
        <w:t xml:space="preserve">he candidate must select “CEI Employee Referral” on their application in the </w:t>
      </w:r>
      <w:proofErr w:type="spellStart"/>
      <w:r w:rsidRPr="00A86175">
        <w:rPr>
          <w:rFonts w:cstheme="minorHAnsi"/>
        </w:rPr>
        <w:t>Neo</w:t>
      </w:r>
      <w:r w:rsidR="00A554A9">
        <w:rPr>
          <w:rFonts w:cstheme="minorHAnsi"/>
        </w:rPr>
        <w:t>Ed</w:t>
      </w:r>
      <w:bookmarkStart w:id="1" w:name="_GoBack"/>
      <w:bookmarkEnd w:id="1"/>
      <w:proofErr w:type="spellEnd"/>
      <w:r w:rsidRPr="00A86175">
        <w:rPr>
          <w:rFonts w:cstheme="minorHAnsi"/>
        </w:rPr>
        <w:t xml:space="preserve"> applicant tracking system under “Where did you first hear about this opportunity?”</w:t>
      </w:r>
      <w:r>
        <w:rPr>
          <w:rFonts w:cstheme="minorHAnsi"/>
        </w:rPr>
        <w:t xml:space="preserve"> </w:t>
      </w:r>
    </w:p>
    <w:p w14:paraId="4B8C3D9F" w14:textId="051BF6D9" w:rsidR="00D262CE" w:rsidRDefault="00512457" w:rsidP="00A17CD5">
      <w:pPr>
        <w:pStyle w:val="ListParagraph"/>
        <w:numPr>
          <w:ilvl w:val="0"/>
          <w:numId w:val="11"/>
        </w:numPr>
        <w:spacing w:after="0" w:line="240" w:lineRule="auto"/>
        <w:rPr>
          <w:rFonts w:cstheme="minorHAnsi"/>
        </w:rPr>
      </w:pPr>
      <w:r>
        <w:rPr>
          <w:rFonts w:cstheme="minorHAnsi"/>
        </w:rPr>
        <w:t>The newly hired employee</w:t>
      </w:r>
      <w:r w:rsidR="00D262CE" w:rsidRPr="009B4A97">
        <w:rPr>
          <w:rFonts w:cstheme="minorHAnsi"/>
        </w:rPr>
        <w:t xml:space="preserve"> must </w:t>
      </w:r>
      <w:r>
        <w:rPr>
          <w:rFonts w:cstheme="minorHAnsi"/>
        </w:rPr>
        <w:t>complete the Employee Referral Form during onboarding</w:t>
      </w:r>
      <w:r w:rsidR="00D262CE" w:rsidRPr="009B4A97">
        <w:rPr>
          <w:rFonts w:cstheme="minorHAnsi"/>
        </w:rPr>
        <w:t xml:space="preserve"> through NeoEd</w:t>
      </w:r>
      <w:r w:rsidR="00525640" w:rsidRPr="009B4A97">
        <w:rPr>
          <w:rFonts w:cstheme="minorHAnsi"/>
        </w:rPr>
        <w:t>.</w:t>
      </w:r>
      <w:r>
        <w:rPr>
          <w:rFonts w:cstheme="minorHAnsi"/>
        </w:rPr>
        <w:t xml:space="preserve"> This form cannot be submitted after the employee has completed onboarding.</w:t>
      </w:r>
    </w:p>
    <w:p w14:paraId="3B902884" w14:textId="7E038ABF" w:rsidR="002342A9" w:rsidRPr="002342A9" w:rsidRDefault="002342A9" w:rsidP="00A17CD5">
      <w:pPr>
        <w:pStyle w:val="ListParagraph"/>
        <w:numPr>
          <w:ilvl w:val="0"/>
          <w:numId w:val="11"/>
        </w:numPr>
        <w:spacing w:after="0" w:line="240" w:lineRule="auto"/>
        <w:rPr>
          <w:rFonts w:cstheme="minorHAnsi"/>
        </w:rPr>
      </w:pPr>
      <w:r w:rsidRPr="002342A9">
        <w:rPr>
          <w:rFonts w:cstheme="minorHAnsi"/>
        </w:rPr>
        <w:t xml:space="preserve">Summer, seasonal, and former employees of </w:t>
      </w:r>
      <w:r>
        <w:rPr>
          <w:rFonts w:cstheme="minorHAnsi"/>
        </w:rPr>
        <w:t xml:space="preserve">the college </w:t>
      </w:r>
      <w:r w:rsidRPr="002342A9">
        <w:rPr>
          <w:rFonts w:cstheme="minorHAnsi"/>
        </w:rPr>
        <w:t>are not eligible candidates for referral.</w:t>
      </w:r>
    </w:p>
    <w:p w14:paraId="320DA34C" w14:textId="7E3B64A7" w:rsidR="001E0764" w:rsidRPr="00A86175" w:rsidRDefault="00512A1B" w:rsidP="00A17CD5">
      <w:pPr>
        <w:pStyle w:val="ListParagraph"/>
        <w:numPr>
          <w:ilvl w:val="0"/>
          <w:numId w:val="11"/>
        </w:numPr>
        <w:spacing w:after="0" w:line="240" w:lineRule="auto"/>
        <w:rPr>
          <w:rFonts w:cstheme="minorHAnsi"/>
        </w:rPr>
      </w:pPr>
      <w:r w:rsidRPr="00A86175">
        <w:rPr>
          <w:rFonts w:cstheme="minorHAnsi"/>
        </w:rPr>
        <w:t>If the applicant is hired</w:t>
      </w:r>
      <w:r w:rsidR="001E0764" w:rsidRPr="00A86175">
        <w:rPr>
          <w:rFonts w:cstheme="minorHAnsi"/>
        </w:rPr>
        <w:t xml:space="preserve">, the </w:t>
      </w:r>
      <w:r w:rsidRPr="00A86175">
        <w:rPr>
          <w:rFonts w:cstheme="minorHAnsi"/>
        </w:rPr>
        <w:t>referring employee will receive a referral bonus a</w:t>
      </w:r>
      <w:r w:rsidR="00A86175">
        <w:rPr>
          <w:rFonts w:cstheme="minorHAnsi"/>
        </w:rPr>
        <w:t>s</w:t>
      </w:r>
      <w:r w:rsidRPr="00A86175">
        <w:rPr>
          <w:rFonts w:cstheme="minorHAnsi"/>
        </w:rPr>
        <w:t xml:space="preserve"> outlined below</w:t>
      </w:r>
      <w:r w:rsidR="001E0764" w:rsidRPr="00A86175">
        <w:rPr>
          <w:rFonts w:cstheme="minorHAnsi"/>
        </w:rPr>
        <w:t>:</w:t>
      </w:r>
    </w:p>
    <w:p w14:paraId="689D8C33" w14:textId="2A9CA816" w:rsidR="001E0764" w:rsidRPr="009B4A97" w:rsidRDefault="0000547C" w:rsidP="00A17CD5">
      <w:pPr>
        <w:pStyle w:val="ListParagraph"/>
        <w:numPr>
          <w:ilvl w:val="1"/>
          <w:numId w:val="13"/>
        </w:numPr>
        <w:spacing w:after="0" w:line="240" w:lineRule="auto"/>
        <w:rPr>
          <w:rFonts w:cstheme="minorHAnsi"/>
        </w:rPr>
      </w:pPr>
      <w:r w:rsidRPr="009B4A97">
        <w:rPr>
          <w:rFonts w:cstheme="minorHAnsi"/>
        </w:rPr>
        <w:t xml:space="preserve">After the referred employee completes their first </w:t>
      </w:r>
      <w:r w:rsidR="00512A1B" w:rsidRPr="009B4A97">
        <w:rPr>
          <w:rFonts w:cstheme="minorHAnsi"/>
        </w:rPr>
        <w:t>90-consecutive days of employment and receives a</w:t>
      </w:r>
      <w:r w:rsidR="002342A9">
        <w:rPr>
          <w:rFonts w:cstheme="minorHAnsi"/>
        </w:rPr>
        <w:t>n overall rating of</w:t>
      </w:r>
      <w:r w:rsidR="00512A1B" w:rsidRPr="009B4A97">
        <w:rPr>
          <w:rFonts w:cstheme="minorHAnsi"/>
        </w:rPr>
        <w:t xml:space="preserve"> “Meet Expectations” on their probationary review</w:t>
      </w:r>
      <w:r w:rsidRPr="009B4A97">
        <w:rPr>
          <w:rFonts w:cstheme="minorHAnsi"/>
        </w:rPr>
        <w:t>, the referring employee will receive $250.00</w:t>
      </w:r>
      <w:r w:rsidR="008460F5">
        <w:rPr>
          <w:rFonts w:cstheme="minorHAnsi"/>
        </w:rPr>
        <w:t xml:space="preserve"> (less taxes)</w:t>
      </w:r>
      <w:r w:rsidRPr="009B4A97">
        <w:rPr>
          <w:rFonts w:cstheme="minorHAnsi"/>
        </w:rPr>
        <w:t>.</w:t>
      </w:r>
    </w:p>
    <w:p w14:paraId="765852B2" w14:textId="1DD9CAFF" w:rsidR="0000547C" w:rsidRPr="009B4A97" w:rsidRDefault="0000547C" w:rsidP="00A17CD5">
      <w:pPr>
        <w:pStyle w:val="ListParagraph"/>
        <w:numPr>
          <w:ilvl w:val="1"/>
          <w:numId w:val="13"/>
        </w:numPr>
        <w:spacing w:after="0" w:line="240" w:lineRule="auto"/>
        <w:rPr>
          <w:rFonts w:cstheme="minorHAnsi"/>
        </w:rPr>
      </w:pPr>
      <w:r w:rsidRPr="009B4A97">
        <w:rPr>
          <w:rFonts w:cstheme="minorHAnsi"/>
        </w:rPr>
        <w:t xml:space="preserve">After the referred employee completes their first annual review with a </w:t>
      </w:r>
      <w:r w:rsidR="000B08E5">
        <w:rPr>
          <w:rFonts w:cstheme="minorHAnsi"/>
        </w:rPr>
        <w:t>“Meets Expectations” or higher</w:t>
      </w:r>
      <w:r w:rsidRPr="009B4A97">
        <w:rPr>
          <w:rFonts w:cstheme="minorHAnsi"/>
        </w:rPr>
        <w:t>, the referring employee will receive $750.00</w:t>
      </w:r>
      <w:r w:rsidR="008460F5">
        <w:rPr>
          <w:rFonts w:cstheme="minorHAnsi"/>
        </w:rPr>
        <w:t xml:space="preserve"> (less taxes)</w:t>
      </w:r>
      <w:r w:rsidRPr="009B4A97">
        <w:rPr>
          <w:rFonts w:cstheme="minorHAnsi"/>
        </w:rPr>
        <w:t>.</w:t>
      </w:r>
    </w:p>
    <w:p w14:paraId="2388EAFC" w14:textId="6C5C10B4" w:rsidR="00512A1B" w:rsidRPr="002342A9" w:rsidRDefault="00512A1B" w:rsidP="00A17CD5">
      <w:pPr>
        <w:pStyle w:val="ListParagraph"/>
        <w:numPr>
          <w:ilvl w:val="0"/>
          <w:numId w:val="12"/>
        </w:numPr>
        <w:spacing w:after="0" w:line="240" w:lineRule="auto"/>
        <w:rPr>
          <w:rFonts w:cstheme="minorHAnsi"/>
        </w:rPr>
      </w:pPr>
      <w:r w:rsidRPr="002342A9">
        <w:rPr>
          <w:rFonts w:cstheme="minorHAnsi"/>
        </w:rPr>
        <w:t xml:space="preserve">The above amounts will be added to the </w:t>
      </w:r>
      <w:r w:rsidR="001E0764" w:rsidRPr="002342A9">
        <w:rPr>
          <w:rFonts w:cstheme="minorHAnsi"/>
        </w:rPr>
        <w:t xml:space="preserve">referring </w:t>
      </w:r>
      <w:r w:rsidRPr="002342A9">
        <w:rPr>
          <w:rFonts w:cstheme="minorHAnsi"/>
        </w:rPr>
        <w:t xml:space="preserve">employee’s </w:t>
      </w:r>
      <w:r w:rsidR="00EB5C0C" w:rsidRPr="002342A9">
        <w:rPr>
          <w:rFonts w:cstheme="minorHAnsi"/>
        </w:rPr>
        <w:t>paycheck the following pay period after the referred employees’ successful completion of each review.</w:t>
      </w:r>
      <w:r w:rsidRPr="002342A9">
        <w:rPr>
          <w:rFonts w:cstheme="minorHAnsi"/>
        </w:rPr>
        <w:t xml:space="preserve"> All referral bonuses quoted in this policy are gross amounts and are subject to all legally required payroll tax deductions</w:t>
      </w:r>
      <w:r w:rsidR="00B24737">
        <w:rPr>
          <w:rFonts w:cstheme="minorHAnsi"/>
        </w:rPr>
        <w:t>.</w:t>
      </w:r>
    </w:p>
    <w:p w14:paraId="65DBBB6E" w14:textId="20002F09" w:rsidR="00D262CE" w:rsidRPr="002342A9" w:rsidRDefault="00D262CE" w:rsidP="00A17CD5">
      <w:pPr>
        <w:pStyle w:val="ListParagraph"/>
        <w:numPr>
          <w:ilvl w:val="0"/>
          <w:numId w:val="12"/>
        </w:numPr>
        <w:spacing w:after="0" w:line="240" w:lineRule="auto"/>
        <w:rPr>
          <w:rFonts w:cstheme="minorHAnsi"/>
        </w:rPr>
      </w:pPr>
      <w:r w:rsidRPr="002342A9">
        <w:rPr>
          <w:rFonts w:cstheme="minorHAnsi"/>
        </w:rPr>
        <w:t xml:space="preserve">Only candidates who meet the minimum qualifications for the position will be considered. </w:t>
      </w:r>
    </w:p>
    <w:p w14:paraId="5CA9889B" w14:textId="540F1B3D" w:rsidR="00D262CE" w:rsidRPr="002342A9" w:rsidRDefault="00D262CE" w:rsidP="00A17CD5">
      <w:pPr>
        <w:pStyle w:val="ListParagraph"/>
        <w:numPr>
          <w:ilvl w:val="0"/>
          <w:numId w:val="12"/>
        </w:numPr>
        <w:spacing w:after="0" w:line="240" w:lineRule="auto"/>
        <w:rPr>
          <w:rFonts w:cstheme="minorHAnsi"/>
        </w:rPr>
      </w:pPr>
      <w:r w:rsidRPr="002342A9">
        <w:rPr>
          <w:rFonts w:cstheme="minorHAnsi"/>
        </w:rPr>
        <w:t xml:space="preserve">All candidates will be evaluated for employment consistent with </w:t>
      </w:r>
      <w:r w:rsidR="001E0764" w:rsidRPr="002342A9">
        <w:rPr>
          <w:rFonts w:cstheme="minorHAnsi"/>
        </w:rPr>
        <w:t>the college’s</w:t>
      </w:r>
      <w:r w:rsidRPr="002342A9">
        <w:rPr>
          <w:rFonts w:cstheme="minorHAnsi"/>
        </w:rPr>
        <w:t xml:space="preserve"> policies and procedures. </w:t>
      </w:r>
    </w:p>
    <w:p w14:paraId="2517BE9E" w14:textId="77777777" w:rsidR="00D262CE" w:rsidRPr="002342A9" w:rsidRDefault="00D262CE" w:rsidP="00A17CD5">
      <w:pPr>
        <w:pStyle w:val="ListParagraph"/>
        <w:numPr>
          <w:ilvl w:val="0"/>
          <w:numId w:val="12"/>
        </w:numPr>
        <w:spacing w:after="0" w:line="240" w:lineRule="auto"/>
        <w:rPr>
          <w:rFonts w:cstheme="minorHAnsi"/>
        </w:rPr>
      </w:pPr>
      <w:r w:rsidRPr="002342A9">
        <w:rPr>
          <w:rFonts w:cstheme="minorHAnsi"/>
        </w:rPr>
        <w:t xml:space="preserve">All information regarding the hiring decision will remain strictly confidential. </w:t>
      </w:r>
    </w:p>
    <w:p w14:paraId="01DEAF3E" w14:textId="43367740" w:rsidR="00D262CE" w:rsidRPr="002342A9" w:rsidRDefault="00D262CE" w:rsidP="00A17CD5">
      <w:pPr>
        <w:pStyle w:val="ListParagraph"/>
        <w:numPr>
          <w:ilvl w:val="0"/>
          <w:numId w:val="12"/>
        </w:numPr>
        <w:spacing w:after="0" w:line="240" w:lineRule="auto"/>
        <w:rPr>
          <w:rFonts w:cstheme="minorHAnsi"/>
        </w:rPr>
      </w:pPr>
      <w:r w:rsidRPr="002342A9">
        <w:rPr>
          <w:rFonts w:cstheme="minorHAnsi"/>
        </w:rPr>
        <w:t>The referring employee must be</w:t>
      </w:r>
      <w:r w:rsidR="00953C88">
        <w:rPr>
          <w:rFonts w:cstheme="minorHAnsi"/>
        </w:rPr>
        <w:t xml:space="preserve"> consistently</w:t>
      </w:r>
      <w:r w:rsidRPr="002342A9">
        <w:rPr>
          <w:rFonts w:cstheme="minorHAnsi"/>
        </w:rPr>
        <w:t xml:space="preserve"> employed by the </w:t>
      </w:r>
      <w:r w:rsidR="00953C88">
        <w:rPr>
          <w:rFonts w:cstheme="minorHAnsi"/>
        </w:rPr>
        <w:t>college</w:t>
      </w:r>
      <w:r w:rsidRPr="002342A9">
        <w:rPr>
          <w:rFonts w:cstheme="minorHAnsi"/>
        </w:rPr>
        <w:t xml:space="preserve"> during the hired candidate's first </w:t>
      </w:r>
      <w:r w:rsidR="00194A8E" w:rsidRPr="002342A9">
        <w:rPr>
          <w:rFonts w:cstheme="minorHAnsi"/>
        </w:rPr>
        <w:t>year</w:t>
      </w:r>
      <w:r w:rsidR="00953C88">
        <w:rPr>
          <w:rFonts w:cstheme="minorHAnsi"/>
        </w:rPr>
        <w:t xml:space="preserve"> of </w:t>
      </w:r>
      <w:r w:rsidRPr="002342A9">
        <w:rPr>
          <w:rFonts w:cstheme="minorHAnsi"/>
        </w:rPr>
        <w:t xml:space="preserve">employment to receive </w:t>
      </w:r>
      <w:r w:rsidR="00A517AA">
        <w:rPr>
          <w:rFonts w:cstheme="minorHAnsi"/>
        </w:rPr>
        <w:t xml:space="preserve">full </w:t>
      </w:r>
      <w:r w:rsidRPr="002342A9">
        <w:rPr>
          <w:rFonts w:cstheme="minorHAnsi"/>
        </w:rPr>
        <w:t xml:space="preserve">payment </w:t>
      </w:r>
      <w:r w:rsidR="00953C88">
        <w:rPr>
          <w:rFonts w:cstheme="minorHAnsi"/>
        </w:rPr>
        <w:t>for the referral.</w:t>
      </w:r>
    </w:p>
    <w:p w14:paraId="3689C859" w14:textId="07322879" w:rsidR="001E0764" w:rsidRDefault="001E0764" w:rsidP="00A17CD5">
      <w:pPr>
        <w:pStyle w:val="ListParagraph"/>
        <w:numPr>
          <w:ilvl w:val="0"/>
          <w:numId w:val="12"/>
        </w:numPr>
        <w:spacing w:after="0" w:line="240" w:lineRule="auto"/>
        <w:rPr>
          <w:rFonts w:cstheme="minorHAnsi"/>
        </w:rPr>
      </w:pPr>
      <w:r w:rsidRPr="002342A9">
        <w:rPr>
          <w:rFonts w:cstheme="minorHAnsi"/>
        </w:rPr>
        <w:lastRenderedPageBreak/>
        <w:t>Eligible employees may receive more than one referral bonus for different positions if the referrals are hired and meet the program requirements.</w:t>
      </w:r>
    </w:p>
    <w:p w14:paraId="1F25DC9E" w14:textId="0D2B4E0E" w:rsidR="001E0764" w:rsidRDefault="001E0764" w:rsidP="00A17CD5">
      <w:pPr>
        <w:pStyle w:val="ListParagraph"/>
        <w:numPr>
          <w:ilvl w:val="0"/>
          <w:numId w:val="12"/>
        </w:numPr>
        <w:spacing w:after="0" w:line="240" w:lineRule="auto"/>
        <w:rPr>
          <w:rFonts w:cstheme="minorHAnsi"/>
        </w:rPr>
      </w:pPr>
      <w:r w:rsidRPr="002342A9">
        <w:rPr>
          <w:rFonts w:cstheme="minorHAnsi"/>
        </w:rPr>
        <w:t>The employee referral incentive may not be split between multiple employees</w:t>
      </w:r>
      <w:r w:rsidR="00B24737">
        <w:rPr>
          <w:rFonts w:cstheme="minorHAnsi"/>
        </w:rPr>
        <w:t>, only one employee may receive the award for a referred employee.</w:t>
      </w:r>
    </w:p>
    <w:p w14:paraId="515E24BC" w14:textId="0B62E85F" w:rsidR="00A517AA" w:rsidRPr="00A517AA" w:rsidRDefault="00A517AA" w:rsidP="00A17CD5">
      <w:pPr>
        <w:pStyle w:val="ListParagraph"/>
        <w:numPr>
          <w:ilvl w:val="0"/>
          <w:numId w:val="12"/>
        </w:numPr>
        <w:spacing w:after="0" w:line="240" w:lineRule="auto"/>
        <w:rPr>
          <w:rFonts w:cstheme="minorHAnsi"/>
        </w:rPr>
      </w:pPr>
      <w:r w:rsidRPr="002342A9">
        <w:rPr>
          <w:rFonts w:cstheme="minorHAnsi"/>
        </w:rPr>
        <w:t xml:space="preserve">Any disputes or interpretations of this employee referral reward program will be handled through Human Resources. </w:t>
      </w:r>
    </w:p>
    <w:p w14:paraId="585A9C45" w14:textId="77777777" w:rsidR="002342A9" w:rsidRPr="002342A9" w:rsidRDefault="002342A9" w:rsidP="00A17CD5">
      <w:pPr>
        <w:pStyle w:val="ListParagraph"/>
        <w:numPr>
          <w:ilvl w:val="0"/>
          <w:numId w:val="12"/>
        </w:numPr>
        <w:spacing w:after="0" w:line="240" w:lineRule="auto"/>
        <w:rPr>
          <w:rFonts w:cstheme="minorHAnsi"/>
        </w:rPr>
      </w:pPr>
      <w:r w:rsidRPr="002342A9">
        <w:rPr>
          <w:rFonts w:cstheme="minorHAnsi"/>
        </w:rPr>
        <w:t>Any questions regarding the referral incentive program should be directed to Human Resources.</w:t>
      </w:r>
    </w:p>
    <w:p w14:paraId="08C1782C" w14:textId="77777777" w:rsidR="002342A9" w:rsidRPr="002342A9" w:rsidRDefault="002342A9" w:rsidP="00A17CD5">
      <w:pPr>
        <w:pStyle w:val="ListParagraph"/>
        <w:spacing w:after="0" w:line="240" w:lineRule="auto"/>
        <w:rPr>
          <w:rFonts w:cstheme="minorHAnsi"/>
        </w:rPr>
      </w:pPr>
    </w:p>
    <w:p w14:paraId="498399A4" w14:textId="77777777" w:rsidR="001E0764" w:rsidRPr="009B4A97" w:rsidRDefault="001E0764" w:rsidP="00A17CD5">
      <w:pPr>
        <w:spacing w:after="0" w:line="240" w:lineRule="auto"/>
        <w:contextualSpacing/>
        <w:rPr>
          <w:rFonts w:cstheme="minorHAnsi"/>
        </w:rPr>
      </w:pPr>
    </w:p>
    <w:p w14:paraId="6C774D45" w14:textId="77777777" w:rsidR="00D262CE" w:rsidRPr="009B4A97" w:rsidRDefault="00D262CE" w:rsidP="00A17CD5">
      <w:pPr>
        <w:pStyle w:val="ListParagraph"/>
        <w:spacing w:after="0" w:line="240" w:lineRule="auto"/>
        <w:rPr>
          <w:rFonts w:cstheme="minorHAnsi"/>
        </w:rPr>
      </w:pPr>
    </w:p>
    <w:p w14:paraId="2D1B83D1" w14:textId="669064EB" w:rsidR="00EB5C0C" w:rsidRPr="009B4A97" w:rsidRDefault="00EB5C0C" w:rsidP="00A17CD5">
      <w:pPr>
        <w:spacing w:after="0" w:line="240" w:lineRule="auto"/>
        <w:contextualSpacing/>
        <w:rPr>
          <w:rFonts w:cstheme="minorHAnsi"/>
        </w:rPr>
      </w:pPr>
    </w:p>
    <w:p w14:paraId="4C7C71CC" w14:textId="77777777" w:rsidR="00EB5C0C" w:rsidRPr="009B4A97" w:rsidRDefault="00EB5C0C" w:rsidP="00A17CD5">
      <w:pPr>
        <w:spacing w:after="0" w:line="240" w:lineRule="auto"/>
        <w:contextualSpacing/>
        <w:rPr>
          <w:rFonts w:cstheme="minorHAnsi"/>
        </w:rPr>
      </w:pPr>
    </w:p>
    <w:p w14:paraId="2E2FEDA0" w14:textId="77777777" w:rsidR="003827D5" w:rsidRPr="009B4A97" w:rsidRDefault="003827D5" w:rsidP="00A17CD5">
      <w:pPr>
        <w:spacing w:after="0" w:line="240" w:lineRule="auto"/>
        <w:contextualSpacing/>
        <w:rPr>
          <w:rFonts w:cstheme="minorHAnsi"/>
        </w:rPr>
      </w:pPr>
    </w:p>
    <w:sectPr w:rsidR="003827D5" w:rsidRPr="009B4A9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F768D" w14:textId="77777777" w:rsidR="00A71D36" w:rsidRDefault="00A71D36" w:rsidP="00A71D36">
      <w:pPr>
        <w:spacing w:after="0" w:line="240" w:lineRule="auto"/>
      </w:pPr>
      <w:r>
        <w:separator/>
      </w:r>
    </w:p>
  </w:endnote>
  <w:endnote w:type="continuationSeparator" w:id="0">
    <w:p w14:paraId="48A427EB" w14:textId="77777777" w:rsidR="00A71D36" w:rsidRDefault="00A71D36" w:rsidP="00A71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568F" w14:textId="77777777" w:rsidR="00A71D36" w:rsidRDefault="00A71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3B82" w14:textId="77777777" w:rsidR="00A71D36" w:rsidRDefault="00A71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762E1" w14:textId="77777777" w:rsidR="00A71D36" w:rsidRDefault="00A71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620A9" w14:textId="77777777" w:rsidR="00A71D36" w:rsidRDefault="00A71D36" w:rsidP="00A71D36">
      <w:pPr>
        <w:spacing w:after="0" w:line="240" w:lineRule="auto"/>
      </w:pPr>
      <w:r>
        <w:separator/>
      </w:r>
    </w:p>
  </w:footnote>
  <w:footnote w:type="continuationSeparator" w:id="0">
    <w:p w14:paraId="074FC84D" w14:textId="77777777" w:rsidR="00A71D36" w:rsidRDefault="00A71D36" w:rsidP="00A71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FFE4" w14:textId="1570926D" w:rsidR="00A71D36" w:rsidRDefault="00A71D36">
    <w:pPr>
      <w:pStyle w:val="Header"/>
    </w:pPr>
    <w:r>
      <w:rPr>
        <w:noProof/>
      </w:rPr>
      <w:pict w14:anchorId="1AAE2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33579" o:spid="_x0000_s2050" type="#_x0000_t75" style="position:absolute;margin-left:0;margin-top:0;width:467.75pt;height:287.65pt;z-index:-251657216;mso-position-horizontal:center;mso-position-horizontal-relative:margin;mso-position-vertical:center;mso-position-vertical-relative:margin" o:allowincell="f">
          <v:imagedata r:id="rId1" o:title="CEI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4E81A" w14:textId="26F5A559" w:rsidR="00A71D36" w:rsidRDefault="00A71D36">
    <w:pPr>
      <w:pStyle w:val="Header"/>
    </w:pPr>
    <w:r>
      <w:rPr>
        <w:noProof/>
      </w:rPr>
      <w:pict w14:anchorId="38D50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33580" o:spid="_x0000_s2051" type="#_x0000_t75" style="position:absolute;margin-left:0;margin-top:0;width:467.75pt;height:287.65pt;z-index:-251656192;mso-position-horizontal:center;mso-position-horizontal-relative:margin;mso-position-vertical:center;mso-position-vertical-relative:margin" o:allowincell="f">
          <v:imagedata r:id="rId1" o:title="CEI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70C36" w14:textId="235951B8" w:rsidR="00A71D36" w:rsidRDefault="00A71D36">
    <w:pPr>
      <w:pStyle w:val="Header"/>
    </w:pPr>
    <w:r>
      <w:rPr>
        <w:noProof/>
      </w:rPr>
      <w:pict w14:anchorId="34A0B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33578" o:spid="_x0000_s2049" type="#_x0000_t75" style="position:absolute;margin-left:0;margin-top:0;width:467.75pt;height:287.65pt;z-index:-251658240;mso-position-horizontal:center;mso-position-horizontal-relative:margin;mso-position-vertical:center;mso-position-vertical-relative:margin" o:allowincell="f">
          <v:imagedata r:id="rId1" o:title="CEI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5491"/>
    <w:multiLevelType w:val="hybridMultilevel"/>
    <w:tmpl w:val="F27066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F7132"/>
    <w:multiLevelType w:val="hybridMultilevel"/>
    <w:tmpl w:val="C93A3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C588A"/>
    <w:multiLevelType w:val="hybridMultilevel"/>
    <w:tmpl w:val="E618DF6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A4924"/>
    <w:multiLevelType w:val="hybridMultilevel"/>
    <w:tmpl w:val="826C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41028"/>
    <w:multiLevelType w:val="hybridMultilevel"/>
    <w:tmpl w:val="362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A5C3B"/>
    <w:multiLevelType w:val="hybridMultilevel"/>
    <w:tmpl w:val="90E07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35ED1"/>
    <w:multiLevelType w:val="hybridMultilevel"/>
    <w:tmpl w:val="608418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F97439"/>
    <w:multiLevelType w:val="hybridMultilevel"/>
    <w:tmpl w:val="178A8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D178C"/>
    <w:multiLevelType w:val="hybridMultilevel"/>
    <w:tmpl w:val="3C469B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02AEB"/>
    <w:multiLevelType w:val="multilevel"/>
    <w:tmpl w:val="6DE443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F312FF"/>
    <w:multiLevelType w:val="hybridMultilevel"/>
    <w:tmpl w:val="E5A6C1CC"/>
    <w:lvl w:ilvl="0" w:tplc="440E45DE">
      <w:numFmt w:val="bullet"/>
      <w:lvlText w:val="•"/>
      <w:lvlJc w:val="left"/>
      <w:pPr>
        <w:ind w:left="1140" w:hanging="360"/>
      </w:pPr>
      <w:rPr>
        <w:rFonts w:ascii="Arial" w:eastAsiaTheme="minorHAns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52E20046"/>
    <w:multiLevelType w:val="hybridMultilevel"/>
    <w:tmpl w:val="82A80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85ECF"/>
    <w:multiLevelType w:val="hybridMultilevel"/>
    <w:tmpl w:val="EC5E72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293399"/>
    <w:multiLevelType w:val="hybridMultilevel"/>
    <w:tmpl w:val="8590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30440"/>
    <w:multiLevelType w:val="hybridMultilevel"/>
    <w:tmpl w:val="5E3A5656"/>
    <w:lvl w:ilvl="0" w:tplc="0409000F">
      <w:start w:val="1"/>
      <w:numFmt w:val="decimal"/>
      <w:lvlText w:val="%1."/>
      <w:lvlJc w:val="left"/>
      <w:pPr>
        <w:ind w:left="720" w:hanging="360"/>
      </w:pPr>
      <w:rPr>
        <w:rFonts w:hint="default"/>
      </w:rPr>
    </w:lvl>
    <w:lvl w:ilvl="1" w:tplc="440E45DE">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856FC0"/>
    <w:multiLevelType w:val="hybridMultilevel"/>
    <w:tmpl w:val="DAD6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9"/>
  </w:num>
  <w:num w:numId="5">
    <w:abstractNumId w:val="5"/>
  </w:num>
  <w:num w:numId="6">
    <w:abstractNumId w:val="3"/>
  </w:num>
  <w:num w:numId="7">
    <w:abstractNumId w:val="10"/>
  </w:num>
  <w:num w:numId="8">
    <w:abstractNumId w:val="6"/>
  </w:num>
  <w:num w:numId="9">
    <w:abstractNumId w:val="7"/>
  </w:num>
  <w:num w:numId="10">
    <w:abstractNumId w:val="14"/>
  </w:num>
  <w:num w:numId="11">
    <w:abstractNumId w:val="13"/>
  </w:num>
  <w:num w:numId="12">
    <w:abstractNumId w:val="15"/>
  </w:num>
  <w:num w:numId="13">
    <w:abstractNumId w:val="12"/>
  </w:num>
  <w:num w:numId="14">
    <w:abstractNumId w:val="2"/>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87A"/>
    <w:rsid w:val="0000547C"/>
    <w:rsid w:val="000B08E5"/>
    <w:rsid w:val="000B3313"/>
    <w:rsid w:val="000E087A"/>
    <w:rsid w:val="000F22A8"/>
    <w:rsid w:val="0010784D"/>
    <w:rsid w:val="00130D64"/>
    <w:rsid w:val="0014405C"/>
    <w:rsid w:val="00171078"/>
    <w:rsid w:val="00194A8E"/>
    <w:rsid w:val="001A1998"/>
    <w:rsid w:val="001E0764"/>
    <w:rsid w:val="002342A9"/>
    <w:rsid w:val="00237D36"/>
    <w:rsid w:val="0032019C"/>
    <w:rsid w:val="00346AC2"/>
    <w:rsid w:val="003827D5"/>
    <w:rsid w:val="004230F3"/>
    <w:rsid w:val="00512457"/>
    <w:rsid w:val="00512A1B"/>
    <w:rsid w:val="00525640"/>
    <w:rsid w:val="005761E8"/>
    <w:rsid w:val="00611653"/>
    <w:rsid w:val="00635DD4"/>
    <w:rsid w:val="00697264"/>
    <w:rsid w:val="006A576E"/>
    <w:rsid w:val="006A7DC9"/>
    <w:rsid w:val="006E6341"/>
    <w:rsid w:val="00740039"/>
    <w:rsid w:val="008460F5"/>
    <w:rsid w:val="00846474"/>
    <w:rsid w:val="00887442"/>
    <w:rsid w:val="008962F1"/>
    <w:rsid w:val="00917582"/>
    <w:rsid w:val="00953C88"/>
    <w:rsid w:val="009B4A97"/>
    <w:rsid w:val="009F45ED"/>
    <w:rsid w:val="00A17CD5"/>
    <w:rsid w:val="00A40177"/>
    <w:rsid w:val="00A517AA"/>
    <w:rsid w:val="00A554A9"/>
    <w:rsid w:val="00A71D36"/>
    <w:rsid w:val="00A86175"/>
    <w:rsid w:val="00A97B3A"/>
    <w:rsid w:val="00AB4B43"/>
    <w:rsid w:val="00AB74CB"/>
    <w:rsid w:val="00AC24DE"/>
    <w:rsid w:val="00AC72E6"/>
    <w:rsid w:val="00AF76CD"/>
    <w:rsid w:val="00B0406E"/>
    <w:rsid w:val="00B24737"/>
    <w:rsid w:val="00B36E94"/>
    <w:rsid w:val="00B76E9E"/>
    <w:rsid w:val="00C269D7"/>
    <w:rsid w:val="00D262CE"/>
    <w:rsid w:val="00D53BD1"/>
    <w:rsid w:val="00E457DA"/>
    <w:rsid w:val="00EA496C"/>
    <w:rsid w:val="00EB5C0C"/>
    <w:rsid w:val="00EF3D9C"/>
    <w:rsid w:val="00FC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606097"/>
  <w15:chartTrackingRefBased/>
  <w15:docId w15:val="{D26654FA-44F5-4D56-81C8-79A0FC49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1"/>
    <w:unhideWhenUsed/>
    <w:qFormat/>
    <w:rsid w:val="00B76E9E"/>
    <w:pPr>
      <w:widowControl w:val="0"/>
      <w:autoSpaceDE w:val="0"/>
      <w:autoSpaceDN w:val="0"/>
      <w:spacing w:before="11" w:after="0" w:line="240" w:lineRule="auto"/>
      <w:ind w:left="100"/>
      <w:outlineLvl w:val="2"/>
    </w:pPr>
    <w:rPr>
      <w:rFonts w:ascii="Segoe UI" w:eastAsia="Segoe UI" w:hAnsi="Segoe UI" w:cs="Segoe UI"/>
      <w:b/>
      <w:bCs/>
      <w:sz w:val="36"/>
      <w:szCs w:val="3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87A"/>
    <w:rPr>
      <w:color w:val="0563C1" w:themeColor="hyperlink"/>
      <w:u w:val="single"/>
    </w:rPr>
  </w:style>
  <w:style w:type="character" w:styleId="UnresolvedMention">
    <w:name w:val="Unresolved Mention"/>
    <w:basedOn w:val="DefaultParagraphFont"/>
    <w:uiPriority w:val="99"/>
    <w:semiHidden/>
    <w:unhideWhenUsed/>
    <w:rsid w:val="00EA496C"/>
    <w:rPr>
      <w:color w:val="808080"/>
      <w:shd w:val="clear" w:color="auto" w:fill="E6E6E6"/>
    </w:rPr>
  </w:style>
  <w:style w:type="paragraph" w:styleId="ListParagraph">
    <w:name w:val="List Paragraph"/>
    <w:basedOn w:val="Normal"/>
    <w:uiPriority w:val="34"/>
    <w:qFormat/>
    <w:rsid w:val="00EA496C"/>
    <w:pPr>
      <w:ind w:left="720"/>
      <w:contextualSpacing/>
    </w:pPr>
  </w:style>
  <w:style w:type="paragraph" w:styleId="BalloonText">
    <w:name w:val="Balloon Text"/>
    <w:basedOn w:val="Normal"/>
    <w:link w:val="BalloonTextChar"/>
    <w:uiPriority w:val="99"/>
    <w:semiHidden/>
    <w:unhideWhenUsed/>
    <w:rsid w:val="00A40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177"/>
    <w:rPr>
      <w:rFonts w:ascii="Segoe UI" w:hAnsi="Segoe UI" w:cs="Segoe UI"/>
      <w:sz w:val="18"/>
      <w:szCs w:val="18"/>
    </w:rPr>
  </w:style>
  <w:style w:type="character" w:styleId="CommentReference">
    <w:name w:val="annotation reference"/>
    <w:basedOn w:val="DefaultParagraphFont"/>
    <w:uiPriority w:val="99"/>
    <w:semiHidden/>
    <w:unhideWhenUsed/>
    <w:rsid w:val="00A40177"/>
    <w:rPr>
      <w:sz w:val="16"/>
      <w:szCs w:val="16"/>
    </w:rPr>
  </w:style>
  <w:style w:type="paragraph" w:styleId="CommentText">
    <w:name w:val="annotation text"/>
    <w:basedOn w:val="Normal"/>
    <w:link w:val="CommentTextChar"/>
    <w:uiPriority w:val="99"/>
    <w:semiHidden/>
    <w:unhideWhenUsed/>
    <w:rsid w:val="00A40177"/>
    <w:pPr>
      <w:spacing w:line="240" w:lineRule="auto"/>
    </w:pPr>
    <w:rPr>
      <w:sz w:val="20"/>
      <w:szCs w:val="20"/>
    </w:rPr>
  </w:style>
  <w:style w:type="character" w:customStyle="1" w:styleId="CommentTextChar">
    <w:name w:val="Comment Text Char"/>
    <w:basedOn w:val="DefaultParagraphFont"/>
    <w:link w:val="CommentText"/>
    <w:uiPriority w:val="99"/>
    <w:semiHidden/>
    <w:rsid w:val="00A40177"/>
    <w:rPr>
      <w:sz w:val="20"/>
      <w:szCs w:val="20"/>
    </w:rPr>
  </w:style>
  <w:style w:type="paragraph" w:styleId="CommentSubject">
    <w:name w:val="annotation subject"/>
    <w:basedOn w:val="CommentText"/>
    <w:next w:val="CommentText"/>
    <w:link w:val="CommentSubjectChar"/>
    <w:uiPriority w:val="99"/>
    <w:semiHidden/>
    <w:unhideWhenUsed/>
    <w:rsid w:val="00A40177"/>
    <w:rPr>
      <w:b/>
      <w:bCs/>
    </w:rPr>
  </w:style>
  <w:style w:type="character" w:customStyle="1" w:styleId="CommentSubjectChar">
    <w:name w:val="Comment Subject Char"/>
    <w:basedOn w:val="CommentTextChar"/>
    <w:link w:val="CommentSubject"/>
    <w:uiPriority w:val="99"/>
    <w:semiHidden/>
    <w:rsid w:val="00A40177"/>
    <w:rPr>
      <w:b/>
      <w:bCs/>
      <w:sz w:val="20"/>
      <w:szCs w:val="20"/>
    </w:rPr>
  </w:style>
  <w:style w:type="paragraph" w:styleId="Revision">
    <w:name w:val="Revision"/>
    <w:hidden/>
    <w:uiPriority w:val="99"/>
    <w:semiHidden/>
    <w:rsid w:val="00A40177"/>
    <w:pPr>
      <w:spacing w:after="0" w:line="240" w:lineRule="auto"/>
    </w:pPr>
  </w:style>
  <w:style w:type="character" w:styleId="FollowedHyperlink">
    <w:name w:val="FollowedHyperlink"/>
    <w:basedOn w:val="DefaultParagraphFont"/>
    <w:uiPriority w:val="99"/>
    <w:semiHidden/>
    <w:unhideWhenUsed/>
    <w:rsid w:val="00AB74CB"/>
    <w:rPr>
      <w:color w:val="954F72" w:themeColor="followedHyperlink"/>
      <w:u w:val="single"/>
    </w:rPr>
  </w:style>
  <w:style w:type="character" w:customStyle="1" w:styleId="Heading3Char">
    <w:name w:val="Heading 3 Char"/>
    <w:basedOn w:val="DefaultParagraphFont"/>
    <w:link w:val="Heading3"/>
    <w:uiPriority w:val="1"/>
    <w:rsid w:val="00B76E9E"/>
    <w:rPr>
      <w:rFonts w:ascii="Segoe UI" w:eastAsia="Segoe UI" w:hAnsi="Segoe UI" w:cs="Segoe UI"/>
      <w:b/>
      <w:bCs/>
      <w:sz w:val="36"/>
      <w:szCs w:val="36"/>
      <w:lang w:bidi="en-US"/>
    </w:rPr>
  </w:style>
  <w:style w:type="paragraph" w:styleId="Header">
    <w:name w:val="header"/>
    <w:basedOn w:val="Normal"/>
    <w:link w:val="HeaderChar"/>
    <w:uiPriority w:val="99"/>
    <w:unhideWhenUsed/>
    <w:rsid w:val="00A71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D36"/>
  </w:style>
  <w:style w:type="paragraph" w:styleId="Footer">
    <w:name w:val="footer"/>
    <w:basedOn w:val="Normal"/>
    <w:link w:val="FooterChar"/>
    <w:uiPriority w:val="99"/>
    <w:unhideWhenUsed/>
    <w:rsid w:val="00A71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7837">
      <w:bodyDiv w:val="1"/>
      <w:marLeft w:val="0"/>
      <w:marRight w:val="0"/>
      <w:marTop w:val="0"/>
      <w:marBottom w:val="0"/>
      <w:divBdr>
        <w:top w:val="none" w:sz="0" w:space="0" w:color="auto"/>
        <w:left w:val="none" w:sz="0" w:space="0" w:color="auto"/>
        <w:bottom w:val="none" w:sz="0" w:space="0" w:color="auto"/>
        <w:right w:val="none" w:sz="0" w:space="0" w:color="auto"/>
      </w:divBdr>
    </w:div>
    <w:div w:id="132254427">
      <w:bodyDiv w:val="1"/>
      <w:marLeft w:val="0"/>
      <w:marRight w:val="0"/>
      <w:marTop w:val="0"/>
      <w:marBottom w:val="0"/>
      <w:divBdr>
        <w:top w:val="none" w:sz="0" w:space="0" w:color="auto"/>
        <w:left w:val="none" w:sz="0" w:space="0" w:color="auto"/>
        <w:bottom w:val="none" w:sz="0" w:space="0" w:color="auto"/>
        <w:right w:val="none" w:sz="0" w:space="0" w:color="auto"/>
      </w:divBdr>
    </w:div>
    <w:div w:id="272640520">
      <w:bodyDiv w:val="1"/>
      <w:marLeft w:val="0"/>
      <w:marRight w:val="0"/>
      <w:marTop w:val="0"/>
      <w:marBottom w:val="0"/>
      <w:divBdr>
        <w:top w:val="none" w:sz="0" w:space="0" w:color="auto"/>
        <w:left w:val="none" w:sz="0" w:space="0" w:color="auto"/>
        <w:bottom w:val="none" w:sz="0" w:space="0" w:color="auto"/>
        <w:right w:val="none" w:sz="0" w:space="0" w:color="auto"/>
      </w:divBdr>
    </w:div>
    <w:div w:id="405079498">
      <w:bodyDiv w:val="1"/>
      <w:marLeft w:val="0"/>
      <w:marRight w:val="0"/>
      <w:marTop w:val="0"/>
      <w:marBottom w:val="0"/>
      <w:divBdr>
        <w:top w:val="none" w:sz="0" w:space="0" w:color="auto"/>
        <w:left w:val="none" w:sz="0" w:space="0" w:color="auto"/>
        <w:bottom w:val="none" w:sz="0" w:space="0" w:color="auto"/>
        <w:right w:val="none" w:sz="0" w:space="0" w:color="auto"/>
      </w:divBdr>
      <w:divsChild>
        <w:div w:id="1585803049">
          <w:marLeft w:val="0"/>
          <w:marRight w:val="0"/>
          <w:marTop w:val="0"/>
          <w:marBottom w:val="0"/>
          <w:divBdr>
            <w:top w:val="none" w:sz="0" w:space="0" w:color="auto"/>
            <w:left w:val="none" w:sz="0" w:space="0" w:color="auto"/>
            <w:bottom w:val="none" w:sz="0" w:space="0" w:color="auto"/>
            <w:right w:val="none" w:sz="0" w:space="0" w:color="auto"/>
          </w:divBdr>
          <w:divsChild>
            <w:div w:id="1155024853">
              <w:marLeft w:val="720"/>
              <w:marRight w:val="0"/>
              <w:marTop w:val="0"/>
              <w:marBottom w:val="0"/>
              <w:divBdr>
                <w:top w:val="none" w:sz="0" w:space="0" w:color="auto"/>
                <w:left w:val="none" w:sz="0" w:space="0" w:color="auto"/>
                <w:bottom w:val="none" w:sz="0" w:space="0" w:color="auto"/>
                <w:right w:val="none" w:sz="0" w:space="0" w:color="auto"/>
              </w:divBdr>
            </w:div>
            <w:div w:id="16591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44901">
      <w:bodyDiv w:val="1"/>
      <w:marLeft w:val="0"/>
      <w:marRight w:val="0"/>
      <w:marTop w:val="0"/>
      <w:marBottom w:val="0"/>
      <w:divBdr>
        <w:top w:val="none" w:sz="0" w:space="0" w:color="auto"/>
        <w:left w:val="none" w:sz="0" w:space="0" w:color="auto"/>
        <w:bottom w:val="none" w:sz="0" w:space="0" w:color="auto"/>
        <w:right w:val="none" w:sz="0" w:space="0" w:color="auto"/>
      </w:divBdr>
    </w:div>
    <w:div w:id="860515717">
      <w:bodyDiv w:val="1"/>
      <w:marLeft w:val="0"/>
      <w:marRight w:val="0"/>
      <w:marTop w:val="0"/>
      <w:marBottom w:val="0"/>
      <w:divBdr>
        <w:top w:val="none" w:sz="0" w:space="0" w:color="auto"/>
        <w:left w:val="none" w:sz="0" w:space="0" w:color="auto"/>
        <w:bottom w:val="none" w:sz="0" w:space="0" w:color="auto"/>
        <w:right w:val="none" w:sz="0" w:space="0" w:color="auto"/>
      </w:divBdr>
    </w:div>
    <w:div w:id="1082217887">
      <w:bodyDiv w:val="1"/>
      <w:marLeft w:val="0"/>
      <w:marRight w:val="0"/>
      <w:marTop w:val="0"/>
      <w:marBottom w:val="0"/>
      <w:divBdr>
        <w:top w:val="none" w:sz="0" w:space="0" w:color="auto"/>
        <w:left w:val="none" w:sz="0" w:space="0" w:color="auto"/>
        <w:bottom w:val="none" w:sz="0" w:space="0" w:color="auto"/>
        <w:right w:val="none" w:sz="0" w:space="0" w:color="auto"/>
      </w:divBdr>
    </w:div>
    <w:div w:id="1367559461">
      <w:bodyDiv w:val="1"/>
      <w:marLeft w:val="0"/>
      <w:marRight w:val="0"/>
      <w:marTop w:val="0"/>
      <w:marBottom w:val="0"/>
      <w:divBdr>
        <w:top w:val="none" w:sz="0" w:space="0" w:color="auto"/>
        <w:left w:val="none" w:sz="0" w:space="0" w:color="auto"/>
        <w:bottom w:val="none" w:sz="0" w:space="0" w:color="auto"/>
        <w:right w:val="none" w:sz="0" w:space="0" w:color="auto"/>
      </w:divBdr>
    </w:div>
    <w:div w:id="1734501150">
      <w:bodyDiv w:val="1"/>
      <w:marLeft w:val="0"/>
      <w:marRight w:val="0"/>
      <w:marTop w:val="0"/>
      <w:marBottom w:val="0"/>
      <w:divBdr>
        <w:top w:val="none" w:sz="0" w:space="0" w:color="auto"/>
        <w:left w:val="none" w:sz="0" w:space="0" w:color="auto"/>
        <w:bottom w:val="none" w:sz="0" w:space="0" w:color="auto"/>
        <w:right w:val="none" w:sz="0" w:space="0" w:color="auto"/>
      </w:divBdr>
    </w:div>
    <w:div w:id="20961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RMCoreMembersOnly xmlns="3aa79ce1-a984-494d-b1bd-153801895108">true</SHRMCoreMembersOnly>
    <PublishingStartDate xmlns="http://schemas.microsoft.com/sharepoint/v3" xsi:nil="true"/>
    <PublishingExpirationDate xmlns="http://schemas.microsoft.com/sharepoint/v3" xsi:nil="true"/>
    <_dlc_DocId xmlns="9e35c72e-853b-4481-acd9-8b56c994845b">UC5APVKEY7YA-1742957208-91</_dlc_DocId>
    <SHRMCoreIsTool xmlns="3aa79ce1-a984-494d-b1bd-153801895108">true</SHRMCoreIsTool>
    <TaxCatchAll xmlns="9e35c72e-853b-4481-acd9-8b56c994845b"/>
    <_dlc_DocIdUrl xmlns="9e35c72e-853b-4481-acd9-8b56c994845b">
      <Url>https://edit.shrm.org/ResourcesAndTools/tools-and-samples/policies/_layouts/15/DocIdRedir.aspx?ID=UC5APVKEY7YA-1742957208-91</Url>
      <Description>UC5APVKEY7YA-1742957208-91</Description>
    </_dlc_DocIdUrl>
    <TaxKeywordTaxHTField xmlns="9e35c72e-853b-4481-acd9-8b56c994845b">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3CB49FF7D92047967B78906379AE19" ma:contentTypeVersion="6" ma:contentTypeDescription="Create a new document." ma:contentTypeScope="" ma:versionID="7c2653645dbb31f1bdc8f4e6fadbda2a">
  <xsd:schema xmlns:xsd="http://www.w3.org/2001/XMLSchema" xmlns:xs="http://www.w3.org/2001/XMLSchema" xmlns:p="http://schemas.microsoft.com/office/2006/metadata/properties" xmlns:ns1="http://schemas.microsoft.com/sharepoint/v3" xmlns:ns2="9e35c72e-853b-4481-acd9-8b56c994845b" xmlns:ns3="3aa79ce1-a984-494d-b1bd-153801895108" targetNamespace="http://schemas.microsoft.com/office/2006/metadata/properties" ma:root="true" ma:fieldsID="be12baedaa4216fc7624db34bc4ac38a" ns1:_="" ns2:_="" ns3:_="">
    <xsd:import namespace="http://schemas.microsoft.com/sharepoint/v3"/>
    <xsd:import namespace="9e35c72e-853b-4481-acd9-8b56c994845b"/>
    <xsd:import namespace="3aa79ce1-a984-494d-b1bd-15380189510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79ce1-a984-494d-b1bd-153801895108"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D9EE26-87B7-4E64-B816-62F65C78E018}">
  <ds:schemaRefs>
    <ds:schemaRef ds:uri="http://schemas.microsoft.com/sharepoint/v3/contenttype/forms"/>
  </ds:schemaRefs>
</ds:datastoreItem>
</file>

<file path=customXml/itemProps2.xml><?xml version="1.0" encoding="utf-8"?>
<ds:datastoreItem xmlns:ds="http://schemas.openxmlformats.org/officeDocument/2006/customXml" ds:itemID="{00528F07-DCD9-4227-96B3-1BE6202BCD87}">
  <ds:schemaRefs>
    <ds:schemaRef ds:uri="http://purl.org/dc/dcmitype/"/>
    <ds:schemaRef ds:uri="9e35c72e-853b-4481-acd9-8b56c994845b"/>
    <ds:schemaRef ds:uri="http://schemas.microsoft.com/office/2006/documentManagement/types"/>
    <ds:schemaRef ds:uri="http://purl.org/dc/terms/"/>
    <ds:schemaRef ds:uri="3aa79ce1-a984-494d-b1bd-153801895108"/>
    <ds:schemaRef ds:uri="http://schemas.microsoft.com/sharepoint/v3"/>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64FD1F1-B7A6-4504-AF0C-8A8E5B7A6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3aa79ce1-a984-494d-b1bd-15380189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B2FB6A-6929-4584-9958-F6C850A576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Mary A Taylor</cp:lastModifiedBy>
  <cp:revision>2</cp:revision>
  <cp:lastPrinted>2022-03-04T22:06:00Z</cp:lastPrinted>
  <dcterms:created xsi:type="dcterms:W3CDTF">2022-03-08T17:51:00Z</dcterms:created>
  <dcterms:modified xsi:type="dcterms:W3CDTF">2022-03-08T17:51:00Z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199801c7-76d2-42a0-a1fe-a90b6c3e8b38</vt:lpwstr>
  </property>
  <property fmtid="{D5CDD505-2E9C-101B-9397-08002B2CF9AE}" pid="3" name="ContentTypeId">
    <vt:lpwstr>0x0101000D3CB49FF7D92047967B78906379AE19</vt:lpwstr>
  </property>
  <property fmtid="{D5CDD505-2E9C-101B-9397-08002B2CF9AE}" pid="4" name="TaxKeyword">
    <vt:lpwstr/>
  </property>
</Properties>
</file>