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5A" w:rsidRPr="00F61EEB" w:rsidRDefault="00D31C5A" w:rsidP="00F61EEB">
      <w:pPr>
        <w:pStyle w:val="Heading2"/>
        <w:rPr>
          <w:rFonts w:ascii="Segoe UI" w:eastAsia="Berlin Sans FB" w:hAnsi="Segoe UI" w:cs="Segoe UI"/>
          <w:b/>
          <w:sz w:val="40"/>
          <w:szCs w:val="40"/>
        </w:rPr>
      </w:pPr>
      <w:bookmarkStart w:id="0" w:name="_GoBack"/>
      <w:bookmarkEnd w:id="0"/>
      <w:r w:rsidRPr="00F61EEB">
        <w:rPr>
          <w:rFonts w:ascii="Segoe UI" w:eastAsia="Berlin Sans FB" w:hAnsi="Segoe UI" w:cs="Segoe UI"/>
          <w:b/>
          <w:sz w:val="40"/>
          <w:szCs w:val="40"/>
        </w:rPr>
        <w:t xml:space="preserve">Policy </w:t>
      </w:r>
      <w:r w:rsidR="00406269" w:rsidRPr="00F61EEB">
        <w:rPr>
          <w:rFonts w:ascii="Segoe UI" w:eastAsia="Berlin Sans FB" w:hAnsi="Segoe UI" w:cs="Segoe UI"/>
          <w:b/>
          <w:sz w:val="40"/>
          <w:szCs w:val="40"/>
        </w:rPr>
        <w:t>211:</w:t>
      </w:r>
      <w:r w:rsidR="00EC4080" w:rsidRPr="00F61EEB">
        <w:rPr>
          <w:rFonts w:ascii="Segoe UI" w:eastAsia="Berlin Sans FB" w:hAnsi="Segoe UI" w:cs="Segoe UI"/>
          <w:b/>
          <w:sz w:val="40"/>
          <w:szCs w:val="40"/>
        </w:rPr>
        <w:t xml:space="preserve"> </w:t>
      </w:r>
      <w:r w:rsidR="00356656" w:rsidRPr="00F61EEB">
        <w:rPr>
          <w:rFonts w:ascii="Segoe UI" w:eastAsia="Berlin Sans FB" w:hAnsi="Segoe UI" w:cs="Segoe UI"/>
          <w:b/>
          <w:sz w:val="40"/>
          <w:szCs w:val="40"/>
        </w:rPr>
        <w:t>Employee and Student Relations</w:t>
      </w:r>
    </w:p>
    <w:p w:rsidR="002A5D25" w:rsidRPr="00F61EEB" w:rsidRDefault="002A5D25" w:rsidP="002A5D25">
      <w:pPr>
        <w:spacing w:before="47" w:after="0" w:line="240" w:lineRule="auto"/>
        <w:rPr>
          <w:rFonts w:cstheme="minorHAnsi"/>
        </w:rPr>
      </w:pPr>
      <w:r w:rsidRPr="00F61EEB">
        <w:rPr>
          <w:rFonts w:cstheme="minorHAnsi"/>
        </w:rPr>
        <w:t xml:space="preserve">Category: </w:t>
      </w:r>
      <w:r w:rsidR="00AA2810" w:rsidRPr="00F61EEB">
        <w:rPr>
          <w:rFonts w:cstheme="minorHAnsi"/>
        </w:rPr>
        <w:t>Personnel</w:t>
      </w:r>
    </w:p>
    <w:p w:rsidR="002A5D25" w:rsidRPr="00F61EEB" w:rsidRDefault="002A5D25" w:rsidP="002A5D25">
      <w:pPr>
        <w:spacing w:before="47" w:after="0" w:line="240" w:lineRule="auto"/>
        <w:rPr>
          <w:rFonts w:cstheme="minorHAnsi"/>
        </w:rPr>
      </w:pPr>
      <w:r w:rsidRPr="00F61EEB">
        <w:rPr>
          <w:rFonts w:cstheme="minorHAnsi"/>
        </w:rPr>
        <w:t>Covered Individuals: All CEI Employees</w:t>
      </w:r>
      <w:r w:rsidR="006C594B" w:rsidRPr="00F61EEB">
        <w:rPr>
          <w:rFonts w:cstheme="minorHAnsi"/>
        </w:rPr>
        <w:t xml:space="preserve"> and Students</w:t>
      </w:r>
    </w:p>
    <w:p w:rsidR="00492B2D" w:rsidRDefault="002A5D25" w:rsidP="002A5D25">
      <w:pPr>
        <w:pStyle w:val="Heading5"/>
        <w:spacing w:before="47"/>
        <w:ind w:left="0"/>
        <w:rPr>
          <w:rFonts w:asciiTheme="minorHAnsi" w:hAnsiTheme="minorHAnsi" w:cstheme="minorHAnsi"/>
          <w:sz w:val="22"/>
          <w:szCs w:val="22"/>
        </w:rPr>
      </w:pPr>
      <w:r w:rsidRPr="00F61EEB">
        <w:rPr>
          <w:rFonts w:asciiTheme="minorHAnsi" w:hAnsiTheme="minorHAnsi" w:cstheme="minorHAnsi"/>
          <w:sz w:val="22"/>
          <w:szCs w:val="22"/>
        </w:rPr>
        <w:t xml:space="preserve">Approved: </w:t>
      </w:r>
      <w:r w:rsidR="00D4626E">
        <w:rPr>
          <w:rFonts w:asciiTheme="minorHAnsi" w:hAnsiTheme="minorHAnsi" w:cstheme="minorHAnsi"/>
          <w:sz w:val="22"/>
          <w:szCs w:val="22"/>
        </w:rPr>
        <w:t>5/28/24</w:t>
      </w:r>
      <w:r w:rsidR="00492B2D">
        <w:rPr>
          <w:rFonts w:asciiTheme="minorHAnsi" w:hAnsiTheme="minorHAnsi" w:cstheme="minorHAnsi"/>
          <w:sz w:val="22"/>
          <w:szCs w:val="22"/>
        </w:rPr>
        <w:t xml:space="preserve"> </w:t>
      </w:r>
    </w:p>
    <w:p w:rsidR="00492B2D" w:rsidRPr="00492B2D" w:rsidRDefault="00492B2D" w:rsidP="002A5D25">
      <w:pPr>
        <w:pStyle w:val="Heading5"/>
        <w:spacing w:before="47"/>
        <w:ind w:left="0"/>
        <w:rPr>
          <w:rFonts w:asciiTheme="minorHAnsi" w:hAnsiTheme="minorHAnsi" w:cstheme="minorHAnsi"/>
          <w:sz w:val="22"/>
          <w:szCs w:val="22"/>
        </w:rPr>
      </w:pPr>
      <w:r w:rsidRPr="00492B2D">
        <w:rPr>
          <w:rFonts w:asciiTheme="minorHAnsi" w:hAnsiTheme="minorHAnsi" w:cstheme="minorHAnsi"/>
          <w:sz w:val="22"/>
          <w:szCs w:val="22"/>
        </w:rPr>
        <w:t>Formerly Approved: 12/11/2019</w:t>
      </w:r>
    </w:p>
    <w:p w:rsidR="00D23E46" w:rsidRPr="00D23E46" w:rsidRDefault="00D23E46" w:rsidP="00D31C5A">
      <w:pPr>
        <w:spacing w:after="0" w:line="240" w:lineRule="auto"/>
        <w:ind w:right="-20"/>
        <w:rPr>
          <w:rFonts w:ascii="Times New Roman" w:eastAsia="Berlin Sans FB" w:hAnsi="Times New Roman" w:cs="Times New Roman"/>
          <w:b/>
          <w:sz w:val="24"/>
          <w:szCs w:val="30"/>
        </w:rPr>
      </w:pPr>
    </w:p>
    <w:p w:rsidR="00D31C5A" w:rsidRPr="00F61EEB" w:rsidRDefault="00406269" w:rsidP="00D31C5A">
      <w:pPr>
        <w:spacing w:after="0" w:line="240" w:lineRule="auto"/>
        <w:ind w:right="-20"/>
        <w:rPr>
          <w:rFonts w:ascii="Segoe UI" w:eastAsia="Berlin Sans FB" w:hAnsi="Segoe UI" w:cs="Segoe UI"/>
          <w:b/>
          <w:color w:val="0060A9"/>
          <w:sz w:val="28"/>
          <w:szCs w:val="30"/>
        </w:rPr>
      </w:pPr>
      <w:r w:rsidRPr="00F61EEB">
        <w:rPr>
          <w:rFonts w:ascii="Segoe UI" w:eastAsia="Berlin Sans FB" w:hAnsi="Segoe UI" w:cs="Segoe UI"/>
          <w:b/>
          <w:color w:val="0060A9"/>
          <w:sz w:val="28"/>
          <w:szCs w:val="30"/>
        </w:rPr>
        <w:t xml:space="preserve">211.1 </w:t>
      </w:r>
      <w:r w:rsidR="00D31C5A" w:rsidRPr="00F61EEB">
        <w:rPr>
          <w:rFonts w:ascii="Segoe UI" w:eastAsia="Berlin Sans FB" w:hAnsi="Segoe UI" w:cs="Segoe UI"/>
          <w:b/>
          <w:color w:val="0060A9"/>
          <w:sz w:val="28"/>
          <w:szCs w:val="30"/>
        </w:rPr>
        <w:t>Policy</w:t>
      </w:r>
    </w:p>
    <w:p w:rsidR="00D31C5A" w:rsidRPr="00A62D4C" w:rsidRDefault="00D31C5A" w:rsidP="00D31C5A">
      <w:pPr>
        <w:spacing w:before="11" w:after="0" w:line="240" w:lineRule="auto"/>
        <w:rPr>
          <w:rFonts w:ascii="Times New Roman" w:hAnsi="Times New Roman" w:cs="Times New Roman"/>
          <w:sz w:val="28"/>
          <w:szCs w:val="28"/>
        </w:rPr>
      </w:pPr>
    </w:p>
    <w:p w:rsidR="00D31C5A" w:rsidRPr="00F61EEB" w:rsidRDefault="00EA65F7" w:rsidP="00F61EEB">
      <w:pPr>
        <w:spacing w:after="0"/>
        <w:rPr>
          <w:rFonts w:eastAsia="Times New Roman" w:cstheme="minorHAnsi"/>
        </w:rPr>
      </w:pPr>
      <w:r w:rsidRPr="00F61EEB">
        <w:rPr>
          <w:rFonts w:eastAsia="Times New Roman" w:cstheme="minorHAnsi"/>
        </w:rPr>
        <w:t xml:space="preserve">The </w:t>
      </w:r>
      <w:r w:rsidR="00F12826" w:rsidRPr="00F61EEB">
        <w:rPr>
          <w:rFonts w:eastAsia="Times New Roman" w:cstheme="minorHAnsi"/>
        </w:rPr>
        <w:t>employee</w:t>
      </w:r>
      <w:r w:rsidRPr="00F61EEB">
        <w:rPr>
          <w:rFonts w:eastAsia="Times New Roman" w:cstheme="minorHAnsi"/>
        </w:rPr>
        <w:t xml:space="preserve">-student relationship lies at the foundation of the educational process. As a matter of sound judgment and professional ethics, CEI faculty members </w:t>
      </w:r>
      <w:r w:rsidR="00F12826" w:rsidRPr="00F61EEB">
        <w:rPr>
          <w:rFonts w:eastAsia="Times New Roman" w:cstheme="minorHAnsi"/>
        </w:rPr>
        <w:t xml:space="preserve">and employees </w:t>
      </w:r>
      <w:r w:rsidRPr="00F61EEB">
        <w:rPr>
          <w:rFonts w:eastAsia="Times New Roman" w:cstheme="minorHAnsi"/>
        </w:rPr>
        <w:t>have a responsibility to avoid any apparent or actual conflict between their professional responsibilities and personal relationships with students.</w:t>
      </w:r>
      <w:r w:rsidR="00F7656B" w:rsidRPr="00F61EEB">
        <w:rPr>
          <w:rFonts w:eastAsia="Times New Roman" w:cstheme="minorHAnsi"/>
        </w:rPr>
        <w:t xml:space="preserve"> Students should be assured that the relationships they develop with employees are built upon the highest ethical principles of the education profession. Maintaining professional relationships and mutual respect and trust between employee</w:t>
      </w:r>
      <w:r w:rsidR="00F12826" w:rsidRPr="00F61EEB">
        <w:rPr>
          <w:rFonts w:eastAsia="Times New Roman" w:cstheme="minorHAnsi"/>
        </w:rPr>
        <w:t>s</w:t>
      </w:r>
      <w:r w:rsidR="00F7656B" w:rsidRPr="00F61EEB">
        <w:rPr>
          <w:rFonts w:eastAsia="Times New Roman" w:cstheme="minorHAnsi"/>
        </w:rPr>
        <w:t xml:space="preserve"> and students is</w:t>
      </w:r>
      <w:r w:rsidR="00EC4080" w:rsidRPr="00F61EEB">
        <w:rPr>
          <w:rFonts w:eastAsia="Times New Roman" w:cstheme="minorHAnsi"/>
        </w:rPr>
        <w:t xml:space="preserve"> vital</w:t>
      </w:r>
      <w:r w:rsidR="00F7656B" w:rsidRPr="00F61EEB">
        <w:rPr>
          <w:rFonts w:eastAsia="Times New Roman" w:cstheme="minorHAnsi"/>
        </w:rPr>
        <w:t xml:space="preserve"> to CEI’s success. This policy does not apply to the spouse</w:t>
      </w:r>
      <w:r w:rsidR="002F4E95" w:rsidRPr="00F61EEB">
        <w:rPr>
          <w:rFonts w:eastAsia="Times New Roman" w:cstheme="minorHAnsi"/>
        </w:rPr>
        <w:t xml:space="preserve"> or child</w:t>
      </w:r>
      <w:r w:rsidR="00F7656B" w:rsidRPr="00F61EEB">
        <w:rPr>
          <w:rFonts w:eastAsia="Times New Roman" w:cstheme="minorHAnsi"/>
        </w:rPr>
        <w:t xml:space="preserve"> of an employee under circumstances where the spouse</w:t>
      </w:r>
      <w:r w:rsidR="002F4E95" w:rsidRPr="00F61EEB">
        <w:rPr>
          <w:rFonts w:eastAsia="Times New Roman" w:cstheme="minorHAnsi"/>
        </w:rPr>
        <w:t xml:space="preserve"> or child</w:t>
      </w:r>
      <w:r w:rsidR="00F7656B" w:rsidRPr="00F61EEB">
        <w:rPr>
          <w:rFonts w:eastAsia="Times New Roman" w:cstheme="minorHAnsi"/>
        </w:rPr>
        <w:t xml:space="preserve"> is a student at CEI.</w:t>
      </w:r>
    </w:p>
    <w:p w:rsidR="00EA65F7" w:rsidRDefault="00EA65F7" w:rsidP="00D31C5A">
      <w:pPr>
        <w:spacing w:after="0" w:line="240" w:lineRule="auto"/>
        <w:rPr>
          <w:rFonts w:ascii="Times New Roman" w:hAnsi="Times New Roman" w:cs="Times New Roman"/>
          <w:sz w:val="24"/>
          <w:szCs w:val="24"/>
        </w:rPr>
      </w:pPr>
    </w:p>
    <w:p w:rsidR="00F7656B" w:rsidRPr="00F61EEB" w:rsidRDefault="00406269" w:rsidP="00D31C5A">
      <w:pPr>
        <w:spacing w:after="0" w:line="240" w:lineRule="auto"/>
        <w:rPr>
          <w:rFonts w:ascii="Segoe UI" w:hAnsi="Segoe UI" w:cs="Segoe UI"/>
          <w:b/>
          <w:color w:val="0060A9"/>
          <w:sz w:val="28"/>
          <w:szCs w:val="24"/>
        </w:rPr>
      </w:pPr>
      <w:r w:rsidRPr="00F61EEB">
        <w:rPr>
          <w:rFonts w:ascii="Segoe UI" w:hAnsi="Segoe UI" w:cs="Segoe UI"/>
          <w:b/>
          <w:color w:val="0060A9"/>
          <w:sz w:val="28"/>
          <w:szCs w:val="24"/>
        </w:rPr>
        <w:t xml:space="preserve">211.2 </w:t>
      </w:r>
      <w:r w:rsidR="00F7656B" w:rsidRPr="00F61EEB">
        <w:rPr>
          <w:rFonts w:ascii="Segoe UI" w:hAnsi="Segoe UI" w:cs="Segoe UI"/>
          <w:b/>
          <w:color w:val="0060A9"/>
          <w:sz w:val="28"/>
          <w:szCs w:val="24"/>
        </w:rPr>
        <w:t>Definitions</w:t>
      </w:r>
    </w:p>
    <w:p w:rsidR="00F7656B" w:rsidRPr="00F61EEB" w:rsidRDefault="00F7656B" w:rsidP="00D31C5A">
      <w:pPr>
        <w:spacing w:after="0" w:line="240" w:lineRule="auto"/>
        <w:rPr>
          <w:rFonts w:ascii="Segoe UI" w:hAnsi="Segoe UI" w:cs="Segoe UI"/>
          <w:color w:val="0060A9"/>
          <w:sz w:val="24"/>
          <w:szCs w:val="24"/>
        </w:rPr>
      </w:pPr>
    </w:p>
    <w:p w:rsidR="00F7656B" w:rsidRPr="00F61EEB" w:rsidRDefault="00F7656B" w:rsidP="00F61EEB">
      <w:pPr>
        <w:spacing w:after="0"/>
        <w:rPr>
          <w:rFonts w:cstheme="minorHAnsi"/>
        </w:rPr>
      </w:pPr>
      <w:r w:rsidRPr="00F61EEB">
        <w:rPr>
          <w:rFonts w:cstheme="minorHAnsi"/>
        </w:rPr>
        <w:t>Relationship of authority: when one individual in a relationship between two or more people has the power to exercise influence, or the legitimate right to make decisions, carry out actions, or direct others within the relationship. Examples include but are not limited to circumstances where a student is enrolled in a faculty member’s class or subject to an employee’s supervision.</w:t>
      </w:r>
    </w:p>
    <w:p w:rsidR="00F7656B" w:rsidRPr="00B8328D" w:rsidRDefault="00F7656B" w:rsidP="00D31C5A">
      <w:pPr>
        <w:spacing w:after="0" w:line="240" w:lineRule="auto"/>
        <w:rPr>
          <w:rFonts w:ascii="Times New Roman" w:hAnsi="Times New Roman" w:cs="Times New Roman"/>
          <w:sz w:val="24"/>
          <w:szCs w:val="24"/>
        </w:rPr>
      </w:pPr>
    </w:p>
    <w:p w:rsidR="00D31C5A" w:rsidRPr="00F61EEB" w:rsidRDefault="00406269" w:rsidP="00D31C5A">
      <w:pPr>
        <w:spacing w:after="0" w:line="240" w:lineRule="auto"/>
        <w:ind w:right="-20"/>
        <w:rPr>
          <w:rFonts w:ascii="Segoe UI" w:hAnsi="Segoe UI" w:cs="Segoe UI"/>
          <w:color w:val="0060A9"/>
          <w:sz w:val="24"/>
          <w:szCs w:val="28"/>
        </w:rPr>
      </w:pPr>
      <w:r w:rsidRPr="00F61EEB">
        <w:rPr>
          <w:rFonts w:ascii="Segoe UI" w:eastAsia="Berlin Sans FB" w:hAnsi="Segoe UI" w:cs="Segoe UI"/>
          <w:b/>
          <w:color w:val="0060A9"/>
          <w:sz w:val="28"/>
          <w:szCs w:val="30"/>
        </w:rPr>
        <w:t xml:space="preserve">211.3 </w:t>
      </w:r>
      <w:r w:rsidR="00D31C5A" w:rsidRPr="00F61EEB">
        <w:rPr>
          <w:rFonts w:ascii="Segoe UI" w:eastAsia="Berlin Sans FB" w:hAnsi="Segoe UI" w:cs="Segoe UI"/>
          <w:b/>
          <w:color w:val="0060A9"/>
          <w:sz w:val="28"/>
          <w:szCs w:val="30"/>
        </w:rPr>
        <w:t>Procedures</w:t>
      </w:r>
    </w:p>
    <w:p w:rsidR="00D31C5A" w:rsidRPr="00A62D4C" w:rsidRDefault="00D31C5A" w:rsidP="00D31C5A">
      <w:pPr>
        <w:spacing w:before="11" w:after="0" w:line="240" w:lineRule="auto"/>
        <w:rPr>
          <w:rFonts w:ascii="Times New Roman" w:hAnsi="Times New Roman" w:cs="Times New Roman"/>
          <w:sz w:val="24"/>
          <w:szCs w:val="28"/>
        </w:rPr>
      </w:pPr>
    </w:p>
    <w:p w:rsidR="007B001C" w:rsidRPr="00F61EEB" w:rsidRDefault="007B001C" w:rsidP="00F61EEB">
      <w:pPr>
        <w:spacing w:after="0"/>
        <w:rPr>
          <w:rFonts w:cstheme="minorHAnsi"/>
        </w:rPr>
      </w:pPr>
      <w:r w:rsidRPr="00F61EEB">
        <w:rPr>
          <w:rFonts w:cstheme="minorHAnsi"/>
        </w:rPr>
        <w:t xml:space="preserve">Relationships that create financial, business, or close personal ties between a CEI employee and a CEI student must be avoided. Such relationships can create conflicts of interest that jeopardize the educational process. </w:t>
      </w:r>
      <w:r w:rsidR="00174096" w:rsidRPr="00F61EEB">
        <w:rPr>
          <w:rFonts w:cstheme="minorHAnsi"/>
        </w:rPr>
        <w:t>Employees have a duty to report a</w:t>
      </w:r>
      <w:r w:rsidRPr="00F61EEB">
        <w:rPr>
          <w:rFonts w:cstheme="minorHAnsi"/>
        </w:rPr>
        <w:t xml:space="preserve">ny relationships of authority </w:t>
      </w:r>
      <w:r w:rsidR="00174096" w:rsidRPr="00F61EEB">
        <w:rPr>
          <w:rFonts w:cstheme="minorHAnsi"/>
        </w:rPr>
        <w:t xml:space="preserve">of this nature </w:t>
      </w:r>
      <w:r w:rsidR="00FF161D" w:rsidRPr="00F61EEB">
        <w:rPr>
          <w:rFonts w:cstheme="minorHAnsi"/>
        </w:rPr>
        <w:t xml:space="preserve">to </w:t>
      </w:r>
      <w:r w:rsidR="00174096" w:rsidRPr="00F61EEB">
        <w:rPr>
          <w:rFonts w:cstheme="minorHAnsi"/>
        </w:rPr>
        <w:t>their immediate supervisor. The immediate supervisor should follow the procedures outlined in Policy 228</w:t>
      </w:r>
      <w:r w:rsidR="00FF161D" w:rsidRPr="00F61EEB">
        <w:rPr>
          <w:rFonts w:cstheme="minorHAnsi"/>
        </w:rPr>
        <w:t>:</w:t>
      </w:r>
      <w:r w:rsidR="00360443" w:rsidRPr="00F61EEB">
        <w:rPr>
          <w:rFonts w:cstheme="minorHAnsi"/>
        </w:rPr>
        <w:t xml:space="preserve"> </w:t>
      </w:r>
      <w:r w:rsidR="00174096" w:rsidRPr="00F61EEB">
        <w:rPr>
          <w:rFonts w:cstheme="minorHAnsi"/>
        </w:rPr>
        <w:t>Conflicts of Interest.</w:t>
      </w:r>
    </w:p>
    <w:p w:rsidR="00174096" w:rsidRPr="00F61EEB" w:rsidRDefault="00174096" w:rsidP="00F61EEB">
      <w:pPr>
        <w:spacing w:after="0"/>
        <w:rPr>
          <w:rFonts w:cstheme="minorHAnsi"/>
        </w:rPr>
      </w:pPr>
    </w:p>
    <w:p w:rsidR="00174096" w:rsidRPr="00F61EEB" w:rsidRDefault="00174096" w:rsidP="00F61EEB">
      <w:pPr>
        <w:spacing w:after="0"/>
        <w:rPr>
          <w:rFonts w:cstheme="minorHAnsi"/>
        </w:rPr>
      </w:pPr>
      <w:r w:rsidRPr="00F61EEB">
        <w:rPr>
          <w:rFonts w:cstheme="minorHAnsi"/>
        </w:rPr>
        <w:t>If any CEI employee becomes aware that a student has a financial need, th</w:t>
      </w:r>
      <w:r w:rsidR="00360443" w:rsidRPr="00F61EEB">
        <w:rPr>
          <w:rFonts w:cstheme="minorHAnsi"/>
        </w:rPr>
        <w:t>e</w:t>
      </w:r>
      <w:r w:rsidRPr="00F61EEB">
        <w:rPr>
          <w:rFonts w:cstheme="minorHAnsi"/>
        </w:rPr>
        <w:t xml:space="preserve"> employee should direct the student to the </w:t>
      </w:r>
      <w:r w:rsidR="002A5D25" w:rsidRPr="00F61EEB">
        <w:rPr>
          <w:rFonts w:cstheme="minorHAnsi"/>
        </w:rPr>
        <w:t>Center for New Directions Office</w:t>
      </w:r>
      <w:r w:rsidRPr="00F61EEB">
        <w:rPr>
          <w:rFonts w:cstheme="minorHAnsi"/>
        </w:rPr>
        <w:t xml:space="preserve">. The direct giving of a financial gift to a student is prohibited. </w:t>
      </w:r>
      <w:r w:rsidR="00EC4080" w:rsidRPr="00F61EEB">
        <w:rPr>
          <w:rFonts w:cstheme="minorHAnsi"/>
        </w:rPr>
        <w:t xml:space="preserve"> Employees may elect to donate by payroll deduction or lump sum directly to the Center for New Directions. </w:t>
      </w:r>
    </w:p>
    <w:p w:rsidR="007B001C" w:rsidRPr="00F61EEB" w:rsidRDefault="007B001C" w:rsidP="00F61EEB">
      <w:pPr>
        <w:spacing w:after="0"/>
        <w:rPr>
          <w:rFonts w:cstheme="minorHAnsi"/>
        </w:rPr>
      </w:pPr>
    </w:p>
    <w:p w:rsidR="00F7656B" w:rsidRPr="00F61EEB" w:rsidRDefault="00F7656B" w:rsidP="00F61EEB">
      <w:pPr>
        <w:spacing w:after="0"/>
        <w:rPr>
          <w:rFonts w:cstheme="minorHAnsi"/>
        </w:rPr>
      </w:pPr>
      <w:r w:rsidRPr="00F61EEB">
        <w:rPr>
          <w:rFonts w:cstheme="minorHAnsi"/>
        </w:rPr>
        <w:t>Relationships between employee</w:t>
      </w:r>
      <w:r w:rsidR="00FF161D" w:rsidRPr="00F61EEB">
        <w:rPr>
          <w:rFonts w:cstheme="minorHAnsi"/>
        </w:rPr>
        <w:t>s</w:t>
      </w:r>
      <w:r w:rsidRPr="00F61EEB">
        <w:rPr>
          <w:rFonts w:cstheme="minorHAnsi"/>
        </w:rPr>
        <w:t xml:space="preserve"> and students that are of a romantic or sexual nature when a relationship of authority exists are prohibited. No CEI employee shall exercise any academic, supervisory, evaluative or other authority or influence over a student with whom the employee has a</w:t>
      </w:r>
      <w:r w:rsidR="00174096" w:rsidRPr="00F61EEB">
        <w:rPr>
          <w:rFonts w:cstheme="minorHAnsi"/>
        </w:rPr>
        <w:t xml:space="preserve"> </w:t>
      </w:r>
      <w:r w:rsidR="00174096" w:rsidRPr="00F61EEB">
        <w:rPr>
          <w:rFonts w:cstheme="minorHAnsi"/>
        </w:rPr>
        <w:lastRenderedPageBreak/>
        <w:t>romantic or sexual</w:t>
      </w:r>
      <w:r w:rsidRPr="00F61EEB">
        <w:rPr>
          <w:rFonts w:cstheme="minorHAnsi"/>
        </w:rPr>
        <w:t xml:space="preserve"> relationship. If a relationship</w:t>
      </w:r>
      <w:r w:rsidR="00174096" w:rsidRPr="00F61EEB">
        <w:rPr>
          <w:rFonts w:cstheme="minorHAnsi"/>
        </w:rPr>
        <w:t xml:space="preserve"> of this nature</w:t>
      </w:r>
      <w:r w:rsidRPr="00F61EEB">
        <w:rPr>
          <w:rFonts w:cstheme="minorHAnsi"/>
        </w:rPr>
        <w:t xml:space="preserve"> exists or arises between an employee and a student, any relationship of authority must be eliminated</w:t>
      </w:r>
      <w:r w:rsidR="007B001C" w:rsidRPr="00F61EEB">
        <w:rPr>
          <w:rFonts w:cstheme="minorHAnsi"/>
        </w:rPr>
        <w:t xml:space="preserve"> and the</w:t>
      </w:r>
      <w:r w:rsidRPr="00F61EEB">
        <w:rPr>
          <w:rFonts w:cstheme="minorHAnsi"/>
        </w:rPr>
        <w:t xml:space="preserve"> employee has the primary responsibility to report the relationship to his or her immediate supervisor and/or Human Resources.</w:t>
      </w:r>
    </w:p>
    <w:p w:rsidR="00F7656B" w:rsidRPr="00F61EEB" w:rsidRDefault="00F7656B" w:rsidP="00F61EEB">
      <w:pPr>
        <w:spacing w:after="0"/>
        <w:rPr>
          <w:rFonts w:cstheme="minorHAnsi"/>
        </w:rPr>
      </w:pPr>
    </w:p>
    <w:p w:rsidR="00F7656B" w:rsidRPr="00F61EEB" w:rsidRDefault="00F7656B" w:rsidP="00F61EEB">
      <w:pPr>
        <w:spacing w:after="0"/>
        <w:rPr>
          <w:rFonts w:cstheme="minorHAnsi"/>
        </w:rPr>
      </w:pPr>
      <w:r w:rsidRPr="00F61EEB">
        <w:rPr>
          <w:rFonts w:cstheme="minorHAnsi"/>
        </w:rPr>
        <w:t>Actions taken will be decided on a case</w:t>
      </w:r>
      <w:r w:rsidR="002F4E95" w:rsidRPr="00F61EEB">
        <w:rPr>
          <w:rFonts w:cstheme="minorHAnsi"/>
        </w:rPr>
        <w:t>-</w:t>
      </w:r>
      <w:r w:rsidRPr="00F61EEB">
        <w:rPr>
          <w:rFonts w:cstheme="minorHAnsi"/>
        </w:rPr>
        <w:t>by</w:t>
      </w:r>
      <w:r w:rsidR="002F4E95" w:rsidRPr="00F61EEB">
        <w:rPr>
          <w:rFonts w:cstheme="minorHAnsi"/>
        </w:rPr>
        <w:t>-</w:t>
      </w:r>
      <w:r w:rsidRPr="00F61EEB">
        <w:rPr>
          <w:rFonts w:cstheme="minorHAnsi"/>
        </w:rPr>
        <w:t>case bas</w:t>
      </w:r>
      <w:r w:rsidR="002F4E95" w:rsidRPr="00F61EEB">
        <w:rPr>
          <w:rFonts w:cstheme="minorHAnsi"/>
        </w:rPr>
        <w:t>is</w:t>
      </w:r>
      <w:r w:rsidRPr="00F61EEB">
        <w:rPr>
          <w:rFonts w:cstheme="minorHAnsi"/>
        </w:rPr>
        <w:t xml:space="preserve"> and the procedures </w:t>
      </w:r>
      <w:r w:rsidR="00EC4080" w:rsidRPr="00F61EEB">
        <w:rPr>
          <w:rFonts w:cstheme="minorHAnsi"/>
        </w:rPr>
        <w:t xml:space="preserve">outlined in </w:t>
      </w:r>
      <w:r w:rsidRPr="00F61EEB">
        <w:rPr>
          <w:rFonts w:cstheme="minorHAnsi"/>
        </w:rPr>
        <w:t>Policy 228</w:t>
      </w:r>
      <w:r w:rsidR="00FF161D" w:rsidRPr="00F61EEB">
        <w:rPr>
          <w:rFonts w:cstheme="minorHAnsi"/>
        </w:rPr>
        <w:t>:</w:t>
      </w:r>
      <w:r w:rsidR="00360443" w:rsidRPr="00F61EEB">
        <w:rPr>
          <w:rFonts w:cstheme="minorHAnsi"/>
        </w:rPr>
        <w:t xml:space="preserve"> </w:t>
      </w:r>
      <w:r w:rsidRPr="00F61EEB">
        <w:rPr>
          <w:rFonts w:cstheme="minorHAnsi"/>
        </w:rPr>
        <w:t>Conflicts of Interest</w:t>
      </w:r>
      <w:r w:rsidR="007B001C" w:rsidRPr="00F61EEB">
        <w:rPr>
          <w:rFonts w:cstheme="minorHAnsi"/>
        </w:rPr>
        <w:t>,</w:t>
      </w:r>
      <w:r w:rsidRPr="00F61EEB">
        <w:rPr>
          <w:rFonts w:cstheme="minorHAnsi"/>
        </w:rPr>
        <w:t xml:space="preserve"> shall provide guidance. Appropriate actions may include but are not limited to appointment of a qualified alternative instructor to the position of authority; transfer of the student to another course, section, or seminar taught by a different instructor; or assignment or transfer of the student to another academic advisor.</w:t>
      </w:r>
    </w:p>
    <w:p w:rsidR="00F7656B" w:rsidRPr="00F61EEB" w:rsidRDefault="00F7656B" w:rsidP="00F61EEB">
      <w:pPr>
        <w:spacing w:after="0"/>
        <w:rPr>
          <w:rFonts w:ascii="Times New Roman" w:hAnsi="Times New Roman" w:cs="Times New Roman"/>
        </w:rPr>
      </w:pPr>
    </w:p>
    <w:p w:rsidR="00F7656B" w:rsidRPr="00F61EEB" w:rsidRDefault="00F7656B" w:rsidP="00F61EEB">
      <w:pPr>
        <w:spacing w:after="0"/>
        <w:rPr>
          <w:rFonts w:cstheme="minorHAnsi"/>
        </w:rPr>
      </w:pPr>
      <w:r w:rsidRPr="00F61EEB">
        <w:rPr>
          <w:rFonts w:cstheme="minorHAnsi"/>
        </w:rPr>
        <w:t>In the event that a CEI employee or student not involved in the relationship believes a relationship is occurring or has occurred between an employee and a student, the employee or student shall</w:t>
      </w:r>
      <w:r w:rsidR="00360443" w:rsidRPr="00F61EEB">
        <w:rPr>
          <w:rFonts w:cstheme="minorHAnsi"/>
        </w:rPr>
        <w:t xml:space="preserve"> </w:t>
      </w:r>
      <w:r w:rsidRPr="00F61EEB">
        <w:rPr>
          <w:rFonts w:cstheme="minorHAnsi"/>
        </w:rPr>
        <w:t>disclose such knowledge to the relevant department supervisor and/or Human Resources. To encourage reporting of relationships governed by this policy, disclosures shall be considered confidential. Further, retaliation against any employee or student reporting a relationship under this policy is strictly prohibited.</w:t>
      </w:r>
    </w:p>
    <w:p w:rsidR="00F7656B" w:rsidRPr="00F61EEB" w:rsidRDefault="00F7656B" w:rsidP="00F61EEB">
      <w:pPr>
        <w:spacing w:after="0"/>
        <w:rPr>
          <w:rFonts w:cstheme="minorHAnsi"/>
        </w:rPr>
      </w:pPr>
    </w:p>
    <w:p w:rsidR="00D31C5A" w:rsidRPr="00F61EEB" w:rsidRDefault="00F7656B" w:rsidP="00F61EEB">
      <w:pPr>
        <w:spacing w:after="0"/>
        <w:rPr>
          <w:rFonts w:cstheme="minorHAnsi"/>
        </w:rPr>
      </w:pPr>
      <w:r w:rsidRPr="00F61EEB">
        <w:rPr>
          <w:rFonts w:cstheme="minorHAnsi"/>
        </w:rPr>
        <w:t>Any employee who violates this policy will be subject to corrective action up to and including termination of employment.</w:t>
      </w:r>
    </w:p>
    <w:p w:rsidR="00D31C5A" w:rsidRDefault="00D31C5A" w:rsidP="00D31C5A">
      <w:pPr>
        <w:spacing w:after="0" w:line="240" w:lineRule="auto"/>
        <w:rPr>
          <w:rFonts w:ascii="Times New Roman" w:hAnsi="Times New Roman" w:cs="Times New Roman"/>
          <w:sz w:val="24"/>
          <w:szCs w:val="24"/>
        </w:rPr>
      </w:pPr>
    </w:p>
    <w:p w:rsidR="00701B6B" w:rsidRDefault="00701B6B"/>
    <w:p w:rsidR="0071712A" w:rsidRDefault="0071712A" w:rsidP="00D23E46"/>
    <w:sectPr w:rsidR="0071712A" w:rsidSect="00EE0A1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F10" w:rsidRDefault="00F80F10" w:rsidP="00D31C5A">
      <w:pPr>
        <w:spacing w:after="0" w:line="240" w:lineRule="auto"/>
      </w:pPr>
      <w:r>
        <w:separator/>
      </w:r>
    </w:p>
  </w:endnote>
  <w:endnote w:type="continuationSeparator" w:id="0">
    <w:p w:rsidR="00F80F10" w:rsidRDefault="00F80F10" w:rsidP="00D3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01C" w:rsidRPr="0071712A" w:rsidRDefault="007B001C" w:rsidP="0071712A">
    <w:pPr>
      <w:pStyle w:val="Footer"/>
    </w:pPr>
    <w:r>
      <w:rPr>
        <w:noProof/>
        <w:sz w:val="16"/>
      </w:rPr>
      <w:tab/>
    </w:r>
    <w:r w:rsidRPr="0071712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F10" w:rsidRDefault="00F80F10" w:rsidP="00D31C5A">
      <w:pPr>
        <w:spacing w:after="0" w:line="240" w:lineRule="auto"/>
        <w:rPr>
          <w:noProof/>
        </w:rPr>
      </w:pPr>
      <w:r>
        <w:rPr>
          <w:noProof/>
        </w:rPr>
        <w:separator/>
      </w:r>
    </w:p>
  </w:footnote>
  <w:footnote w:type="continuationSeparator" w:id="0">
    <w:p w:rsidR="00F80F10" w:rsidRDefault="00F80F10" w:rsidP="00D3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80" w:rsidRDefault="003D37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101313"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80" w:rsidRDefault="003D37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101314"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80" w:rsidRDefault="003D37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101312"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A13CC"/>
    <w:multiLevelType w:val="hybridMultilevel"/>
    <w:tmpl w:val="C5DC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5A"/>
    <w:rsid w:val="000449E4"/>
    <w:rsid w:val="00114CA7"/>
    <w:rsid w:val="00174096"/>
    <w:rsid w:val="001B5E50"/>
    <w:rsid w:val="0022083C"/>
    <w:rsid w:val="002A5D25"/>
    <w:rsid w:val="002E72C3"/>
    <w:rsid w:val="002F4E95"/>
    <w:rsid w:val="00345FE1"/>
    <w:rsid w:val="00356656"/>
    <w:rsid w:val="00360443"/>
    <w:rsid w:val="003A215D"/>
    <w:rsid w:val="003D37DB"/>
    <w:rsid w:val="003E01BB"/>
    <w:rsid w:val="00406269"/>
    <w:rsid w:val="00492B2D"/>
    <w:rsid w:val="006C594B"/>
    <w:rsid w:val="00701B6B"/>
    <w:rsid w:val="0071712A"/>
    <w:rsid w:val="00775C06"/>
    <w:rsid w:val="00785AB5"/>
    <w:rsid w:val="007B001C"/>
    <w:rsid w:val="007E5486"/>
    <w:rsid w:val="00AA2810"/>
    <w:rsid w:val="00AD19B8"/>
    <w:rsid w:val="00AF7A8D"/>
    <w:rsid w:val="00BB35B0"/>
    <w:rsid w:val="00BF5AF8"/>
    <w:rsid w:val="00C475BC"/>
    <w:rsid w:val="00D046E8"/>
    <w:rsid w:val="00D23E46"/>
    <w:rsid w:val="00D31C5A"/>
    <w:rsid w:val="00D4626E"/>
    <w:rsid w:val="00DA2DCD"/>
    <w:rsid w:val="00DE42C6"/>
    <w:rsid w:val="00E02E81"/>
    <w:rsid w:val="00E719BE"/>
    <w:rsid w:val="00EA65F7"/>
    <w:rsid w:val="00EC4080"/>
    <w:rsid w:val="00EE0A1E"/>
    <w:rsid w:val="00F12826"/>
    <w:rsid w:val="00F3631D"/>
    <w:rsid w:val="00F61EEB"/>
    <w:rsid w:val="00F7656B"/>
    <w:rsid w:val="00F8004E"/>
    <w:rsid w:val="00F80F10"/>
    <w:rsid w:val="00FF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CAC82A2-C66C-48CF-A506-EA41F195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C5A"/>
    <w:pPr>
      <w:widowControl w:val="0"/>
      <w:spacing w:after="200" w:line="276" w:lineRule="auto"/>
    </w:pPr>
  </w:style>
  <w:style w:type="paragraph" w:styleId="Heading2">
    <w:name w:val="heading 2"/>
    <w:basedOn w:val="Normal"/>
    <w:next w:val="Normal"/>
    <w:link w:val="Heading2Char"/>
    <w:uiPriority w:val="9"/>
    <w:unhideWhenUsed/>
    <w:qFormat/>
    <w:rsid w:val="00406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2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1"/>
    <w:qFormat/>
    <w:rsid w:val="002A5D25"/>
    <w:pPr>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5A"/>
  </w:style>
  <w:style w:type="paragraph" w:styleId="Footer">
    <w:name w:val="footer"/>
    <w:basedOn w:val="Normal"/>
    <w:link w:val="FooterChar"/>
    <w:uiPriority w:val="99"/>
    <w:unhideWhenUsed/>
    <w:rsid w:val="00D3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5A"/>
  </w:style>
  <w:style w:type="paragraph" w:styleId="ListParagraph">
    <w:name w:val="List Paragraph"/>
    <w:basedOn w:val="Normal"/>
    <w:uiPriority w:val="34"/>
    <w:qFormat/>
    <w:rsid w:val="00F7656B"/>
    <w:pPr>
      <w:ind w:left="720"/>
      <w:contextualSpacing/>
    </w:pPr>
  </w:style>
  <w:style w:type="character" w:customStyle="1" w:styleId="Heading5Char">
    <w:name w:val="Heading 5 Char"/>
    <w:basedOn w:val="DefaultParagraphFont"/>
    <w:link w:val="Heading5"/>
    <w:uiPriority w:val="1"/>
    <w:rsid w:val="002A5D25"/>
    <w:rPr>
      <w:rFonts w:ascii="Segoe UI Semibold" w:eastAsia="Segoe UI Semibold" w:hAnsi="Segoe UI Semibold" w:cs="Segoe UI Semibold"/>
      <w:sz w:val="28"/>
      <w:szCs w:val="28"/>
      <w:lang w:bidi="en-US"/>
    </w:rPr>
  </w:style>
  <w:style w:type="paragraph" w:styleId="BalloonText">
    <w:name w:val="Balloon Text"/>
    <w:basedOn w:val="Normal"/>
    <w:link w:val="BalloonTextChar"/>
    <w:uiPriority w:val="99"/>
    <w:semiHidden/>
    <w:unhideWhenUsed/>
    <w:rsid w:val="002A5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D25"/>
    <w:rPr>
      <w:rFonts w:ascii="Segoe UI" w:hAnsi="Segoe UI" w:cs="Segoe UI"/>
      <w:sz w:val="18"/>
      <w:szCs w:val="18"/>
    </w:rPr>
  </w:style>
  <w:style w:type="character" w:customStyle="1" w:styleId="Heading2Char">
    <w:name w:val="Heading 2 Char"/>
    <w:basedOn w:val="DefaultParagraphFont"/>
    <w:link w:val="Heading2"/>
    <w:uiPriority w:val="9"/>
    <w:rsid w:val="004062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26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436537">
      <w:bodyDiv w:val="1"/>
      <w:marLeft w:val="0"/>
      <w:marRight w:val="0"/>
      <w:marTop w:val="0"/>
      <w:marBottom w:val="0"/>
      <w:divBdr>
        <w:top w:val="none" w:sz="0" w:space="0" w:color="auto"/>
        <w:left w:val="none" w:sz="0" w:space="0" w:color="auto"/>
        <w:bottom w:val="none" w:sz="0" w:space="0" w:color="auto"/>
        <w:right w:val="none" w:sz="0" w:space="0" w:color="auto"/>
      </w:divBdr>
    </w:div>
    <w:div w:id="15905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0DD2-BA03-4479-A2A2-C02714E0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564</Words>
  <Characters>3186</Characters>
  <Application>Microsoft Office Word</Application>
  <DocSecurity>0</DocSecurity>
  <PresentationFormat>12|.DOCX</PresentationFormat>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00503076;1/Font=8</dc:subject>
  <dc:creator>Jedediah Bigelow</dc:creator>
  <cp:keywords/>
  <dc:description/>
  <cp:lastModifiedBy>April M Peterson</cp:lastModifiedBy>
  <cp:revision>4</cp:revision>
  <cp:lastPrinted>2018-11-14T21:21:00Z</cp:lastPrinted>
  <dcterms:created xsi:type="dcterms:W3CDTF">2024-04-09T19:20:00Z</dcterms:created>
  <dcterms:modified xsi:type="dcterms:W3CDTF">2024-06-06T18:14:00Z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a2b83bd82e8e80e9a5f26fe5703741bf12ebfdef5f4d0325299774237f184677</vt:lpwstr>
  </property>
</Properties>
</file>